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302" w:rsidRDefault="00752302" w:rsidP="00752302">
      <w:pPr>
        <w:pStyle w:val="NoSpacing"/>
        <w:jc w:val="right"/>
        <w:rPr>
          <w:sz w:val="24"/>
          <w:szCs w:val="24"/>
        </w:rPr>
      </w:pPr>
    </w:p>
    <w:p w:rsidR="00FA1144" w:rsidRDefault="00752302" w:rsidP="00F414D6">
      <w:pPr>
        <w:pStyle w:val="NoSpacing"/>
        <w:jc w:val="center"/>
        <w:rPr>
          <w:rFonts w:ascii="Times New Roman" w:hAnsi="Times New Roman" w:cs="Times New Roman"/>
          <w:sz w:val="48"/>
          <w:szCs w:val="48"/>
        </w:rPr>
      </w:pPr>
      <w:r w:rsidRPr="006C7A59">
        <w:rPr>
          <w:rFonts w:ascii="Times New Roman" w:hAnsi="Times New Roman" w:cs="Times New Roman"/>
          <w:sz w:val="48"/>
          <w:szCs w:val="48"/>
        </w:rPr>
        <w:t>The Fifth Cup of Wine</w:t>
      </w:r>
    </w:p>
    <w:p w:rsidR="009E645B" w:rsidRDefault="009E645B" w:rsidP="00F414D6">
      <w:pPr>
        <w:pStyle w:val="NoSpacing"/>
        <w:jc w:val="center"/>
        <w:rPr>
          <w:rFonts w:ascii="Times New Roman" w:hAnsi="Times New Roman" w:cs="Times New Roman"/>
          <w:sz w:val="48"/>
          <w:szCs w:val="48"/>
        </w:rPr>
      </w:pPr>
    </w:p>
    <w:p w:rsidR="009E645B" w:rsidRDefault="009E645B" w:rsidP="00C55AAA">
      <w:pPr>
        <w:pStyle w:val="NoSpacing"/>
        <w:spacing w:line="480" w:lineRule="auto"/>
        <w:rPr>
          <w:rFonts w:ascii="Times New Roman" w:hAnsi="Times New Roman" w:cs="Times New Roman"/>
          <w:sz w:val="32"/>
          <w:szCs w:val="32"/>
          <w:lang w:bidi="he-IL"/>
        </w:rPr>
      </w:pPr>
      <w:r>
        <w:rPr>
          <w:rFonts w:ascii="Times New Roman" w:hAnsi="Times New Roman" w:cs="Times New Roman"/>
          <w:sz w:val="32"/>
          <w:szCs w:val="32"/>
        </w:rPr>
        <w:tab/>
        <w:t xml:space="preserve">Every year I look for opportunities to add something to the conversation of the Second Night Seder that might have been lacking on the first night. The theme that I want to focus on today is moving from slavery to entering to the land of Israel. Passover has some very Zionist elements but only </w:t>
      </w:r>
      <w:r w:rsidR="00F829A6">
        <w:rPr>
          <w:rFonts w:ascii="Times New Roman" w:hAnsi="Times New Roman" w:cs="Times New Roman"/>
          <w:sz w:val="32"/>
          <w:szCs w:val="32"/>
        </w:rPr>
        <w:t>two of them are</w:t>
      </w:r>
      <w:r>
        <w:rPr>
          <w:rFonts w:ascii="Times New Roman" w:hAnsi="Times New Roman" w:cs="Times New Roman"/>
          <w:sz w:val="32"/>
          <w:szCs w:val="32"/>
        </w:rPr>
        <w:t xml:space="preserve"> directly incorporated into our Haggadah</w:t>
      </w:r>
      <w:r w:rsidR="00903C26">
        <w:rPr>
          <w:rFonts w:ascii="Times New Roman" w:hAnsi="Times New Roman" w:cs="Times New Roman"/>
          <w:sz w:val="32"/>
          <w:szCs w:val="32"/>
        </w:rPr>
        <w:t>. First at the beginning of the Maggid section,</w:t>
      </w:r>
      <w:r w:rsidR="00C55AAA">
        <w:rPr>
          <w:rStyle w:val="FootnoteReference"/>
          <w:rFonts w:ascii="Times New Roman" w:hAnsi="Times New Roman" w:cs="Times New Roman"/>
          <w:sz w:val="32"/>
          <w:szCs w:val="32"/>
        </w:rPr>
        <w:footnoteReference w:id="1"/>
      </w:r>
      <w:r w:rsidR="00903C26">
        <w:rPr>
          <w:rFonts w:ascii="Times New Roman" w:hAnsi="Times New Roman" w:cs="Times New Roman"/>
          <w:sz w:val="32"/>
          <w:szCs w:val="32"/>
        </w:rPr>
        <w:t xml:space="preserve"> we proclaim </w:t>
      </w:r>
      <w:r w:rsidR="00903C26">
        <w:rPr>
          <w:rFonts w:ascii="Times New Roman" w:hAnsi="Times New Roman" w:cs="Times New Roman" w:hint="cs"/>
          <w:sz w:val="32"/>
          <w:szCs w:val="32"/>
          <w:rtl/>
          <w:lang w:bidi="he-IL"/>
        </w:rPr>
        <w:t>השתא הכא: לשנה הבאה בארעא דישראל</w:t>
      </w:r>
      <w:r w:rsidR="00903C26">
        <w:rPr>
          <w:rFonts w:ascii="Times New Roman" w:hAnsi="Times New Roman" w:cs="Times New Roman"/>
          <w:sz w:val="32"/>
          <w:szCs w:val="32"/>
          <w:lang w:bidi="he-IL"/>
        </w:rPr>
        <w:t>, “Now we are here; next year may we be in the Land of Israel.”</w:t>
      </w:r>
      <w:r w:rsidR="00903C26">
        <w:rPr>
          <w:rFonts w:ascii="Times New Roman" w:hAnsi="Times New Roman" w:cs="Times New Roman"/>
          <w:sz w:val="32"/>
          <w:szCs w:val="32"/>
        </w:rPr>
        <w:t xml:space="preserve"> Then at the end of the Haggadah we state</w:t>
      </w:r>
      <w:r>
        <w:rPr>
          <w:rFonts w:ascii="Times New Roman" w:hAnsi="Times New Roman" w:cs="Times New Roman"/>
          <w:sz w:val="32"/>
          <w:szCs w:val="32"/>
        </w:rPr>
        <w:t xml:space="preserve"> </w:t>
      </w:r>
      <w:r>
        <w:rPr>
          <w:rFonts w:ascii="Times New Roman" w:hAnsi="Times New Roman" w:cs="Times New Roman" w:hint="cs"/>
          <w:sz w:val="32"/>
          <w:szCs w:val="32"/>
          <w:rtl/>
          <w:lang w:bidi="he-IL"/>
        </w:rPr>
        <w:t>לשנה הבאה בירושלים</w:t>
      </w:r>
      <w:r>
        <w:rPr>
          <w:rFonts w:ascii="Times New Roman" w:hAnsi="Times New Roman" w:cs="Times New Roman"/>
          <w:sz w:val="32"/>
          <w:szCs w:val="32"/>
          <w:lang w:bidi="he-IL"/>
        </w:rPr>
        <w:t>, NEXT</w:t>
      </w:r>
      <w:r w:rsidR="00903C26">
        <w:rPr>
          <w:rFonts w:ascii="Times New Roman" w:hAnsi="Times New Roman" w:cs="Times New Roman"/>
          <w:sz w:val="32"/>
          <w:szCs w:val="32"/>
          <w:lang w:bidi="he-IL"/>
        </w:rPr>
        <w:t xml:space="preserve"> YEAR IN JERUSALEM! However</w:t>
      </w:r>
      <w:r>
        <w:rPr>
          <w:rFonts w:ascii="Times New Roman" w:hAnsi="Times New Roman" w:cs="Times New Roman"/>
          <w:sz w:val="32"/>
          <w:szCs w:val="32"/>
          <w:lang w:bidi="he-IL"/>
        </w:rPr>
        <w:t xml:space="preserve">, there is no </w:t>
      </w:r>
      <w:r w:rsidR="00903C26">
        <w:rPr>
          <w:rFonts w:ascii="Times New Roman" w:hAnsi="Times New Roman" w:cs="Times New Roman"/>
          <w:sz w:val="32"/>
          <w:szCs w:val="32"/>
          <w:lang w:bidi="he-IL"/>
        </w:rPr>
        <w:t xml:space="preserve">direct </w:t>
      </w:r>
      <w:r>
        <w:rPr>
          <w:rFonts w:ascii="Times New Roman" w:hAnsi="Times New Roman" w:cs="Times New Roman"/>
          <w:sz w:val="32"/>
          <w:szCs w:val="32"/>
          <w:lang w:bidi="he-IL"/>
        </w:rPr>
        <w:t>statement in the Haggadah</w:t>
      </w:r>
      <w:r w:rsidR="00903C26">
        <w:rPr>
          <w:rFonts w:ascii="Times New Roman" w:hAnsi="Times New Roman" w:cs="Times New Roman"/>
          <w:sz w:val="32"/>
          <w:szCs w:val="32"/>
          <w:lang w:bidi="he-IL"/>
        </w:rPr>
        <w:t xml:space="preserve"> that the purpose of our being redeemed from </w:t>
      </w:r>
      <w:r>
        <w:rPr>
          <w:rFonts w:ascii="Times New Roman" w:hAnsi="Times New Roman" w:cs="Times New Roman"/>
          <w:sz w:val="32"/>
          <w:szCs w:val="32"/>
          <w:lang w:bidi="he-IL"/>
        </w:rPr>
        <w:t>slavery in Egypt was to serve G-d in the land of Israel.</w:t>
      </w:r>
      <w:r w:rsidR="00903C26">
        <w:rPr>
          <w:rStyle w:val="FootnoteReference"/>
          <w:rFonts w:ascii="Times New Roman" w:hAnsi="Times New Roman" w:cs="Times New Roman"/>
          <w:sz w:val="32"/>
          <w:szCs w:val="32"/>
          <w:lang w:bidi="he-IL"/>
        </w:rPr>
        <w:footnoteReference w:id="2"/>
      </w:r>
    </w:p>
    <w:p w:rsidR="00015B95" w:rsidRDefault="009E645B" w:rsidP="009405E2">
      <w:pPr>
        <w:spacing w:after="0" w:line="480" w:lineRule="auto"/>
        <w:rPr>
          <w:rFonts w:ascii="Times New Roman" w:eastAsia="Times New Roman" w:hAnsi="Times New Roman" w:cs="Times New Roman"/>
          <w:sz w:val="32"/>
          <w:szCs w:val="32"/>
          <w:lang w:bidi="he-IL"/>
        </w:rPr>
      </w:pPr>
      <w:r>
        <w:rPr>
          <w:rFonts w:ascii="Times New Roman" w:hAnsi="Times New Roman" w:cs="Times New Roman"/>
          <w:sz w:val="32"/>
          <w:szCs w:val="32"/>
          <w:lang w:bidi="he-IL"/>
        </w:rPr>
        <w:tab/>
        <w:t xml:space="preserve">It is strange that the authors of the Haggadah chose not to focus on this theme because it is at the core of the biblical exodus narrative. In </w:t>
      </w:r>
      <w:r>
        <w:rPr>
          <w:rFonts w:ascii="Times New Roman" w:hAnsi="Times New Roman" w:cs="Times New Roman"/>
          <w:sz w:val="32"/>
          <w:szCs w:val="32"/>
          <w:lang w:bidi="he-IL"/>
        </w:rPr>
        <w:lastRenderedPageBreak/>
        <w:t xml:space="preserve">Exodus Chapter 6 Verse 6, G-d proclaims </w:t>
      </w:r>
      <w:r w:rsidRPr="00015B95">
        <w:rPr>
          <w:rFonts w:ascii="Times New Roman" w:eastAsia="Times New Roman" w:hAnsi="Times New Roman" w:cs="Times New Roman"/>
          <w:b/>
          <w:bCs/>
          <w:sz w:val="32"/>
          <w:szCs w:val="32"/>
          <w:lang w:bidi="he-IL"/>
        </w:rPr>
        <w:t>I will bring you out</w:t>
      </w:r>
      <w:r w:rsidRPr="00015B95">
        <w:rPr>
          <w:rFonts w:ascii="Times New Roman" w:eastAsia="Times New Roman" w:hAnsi="Times New Roman" w:cs="Times New Roman"/>
          <w:sz w:val="32"/>
          <w:szCs w:val="32"/>
          <w:lang w:bidi="he-IL"/>
        </w:rPr>
        <w:t xml:space="preserve"> </w:t>
      </w:r>
      <w:r w:rsidR="00015B95">
        <w:rPr>
          <w:rFonts w:ascii="Times New Roman" w:eastAsia="Times New Roman" w:hAnsi="Times New Roman" w:cs="Times New Roman"/>
          <w:sz w:val="32"/>
          <w:szCs w:val="32"/>
          <w:lang w:bidi="he-IL"/>
        </w:rPr>
        <w:t>(</w:t>
      </w:r>
      <w:r w:rsidR="00015B95">
        <w:rPr>
          <w:rFonts w:ascii="Times New Roman" w:eastAsia="Times New Roman" w:hAnsi="Times New Roman" w:cs="Times New Roman" w:hint="cs"/>
          <w:sz w:val="32"/>
          <w:szCs w:val="32"/>
          <w:rtl/>
          <w:lang w:bidi="he-IL"/>
        </w:rPr>
        <w:t>והוצאתי</w:t>
      </w:r>
      <w:r w:rsidR="00015B95">
        <w:rPr>
          <w:rFonts w:ascii="Times New Roman" w:eastAsia="Times New Roman" w:hAnsi="Times New Roman" w:cs="Times New Roman"/>
          <w:sz w:val="32"/>
          <w:szCs w:val="32"/>
          <w:lang w:bidi="he-IL"/>
        </w:rPr>
        <w:t xml:space="preserve">) </w:t>
      </w:r>
      <w:r w:rsidRPr="00015B95">
        <w:rPr>
          <w:rFonts w:ascii="Times New Roman" w:eastAsia="Times New Roman" w:hAnsi="Times New Roman" w:cs="Times New Roman"/>
          <w:sz w:val="32"/>
          <w:szCs w:val="32"/>
          <w:lang w:bidi="he-IL"/>
        </w:rPr>
        <w:t xml:space="preserve">from under the burdens of the Egyptians, and </w:t>
      </w:r>
      <w:r w:rsidRPr="00015B95">
        <w:rPr>
          <w:rFonts w:ascii="Times New Roman" w:eastAsia="Times New Roman" w:hAnsi="Times New Roman" w:cs="Times New Roman"/>
          <w:b/>
          <w:bCs/>
          <w:sz w:val="32"/>
          <w:szCs w:val="32"/>
          <w:lang w:bidi="he-IL"/>
        </w:rPr>
        <w:t>I will deliver you</w:t>
      </w:r>
      <w:r w:rsidRPr="00015B95">
        <w:rPr>
          <w:rFonts w:ascii="Times New Roman" w:eastAsia="Times New Roman" w:hAnsi="Times New Roman" w:cs="Times New Roman"/>
          <w:sz w:val="32"/>
          <w:szCs w:val="32"/>
          <w:lang w:bidi="he-IL"/>
        </w:rPr>
        <w:t xml:space="preserve"> </w:t>
      </w:r>
      <w:r w:rsidR="00015B95">
        <w:rPr>
          <w:rFonts w:ascii="Times New Roman" w:eastAsia="Times New Roman" w:hAnsi="Times New Roman" w:cs="Times New Roman"/>
          <w:sz w:val="32"/>
          <w:szCs w:val="32"/>
          <w:lang w:bidi="he-IL"/>
        </w:rPr>
        <w:t>(</w:t>
      </w:r>
      <w:r w:rsidR="00015B95">
        <w:rPr>
          <w:rFonts w:ascii="Times New Roman" w:eastAsia="Times New Roman" w:hAnsi="Times New Roman" w:cs="Times New Roman" w:hint="cs"/>
          <w:sz w:val="32"/>
          <w:szCs w:val="32"/>
          <w:rtl/>
          <w:lang w:bidi="he-IL"/>
        </w:rPr>
        <w:t>והצלתי</w:t>
      </w:r>
      <w:r w:rsidR="00015B95">
        <w:rPr>
          <w:rFonts w:ascii="Times New Roman" w:eastAsia="Times New Roman" w:hAnsi="Times New Roman" w:cs="Times New Roman"/>
          <w:sz w:val="32"/>
          <w:szCs w:val="32"/>
          <w:lang w:bidi="he-IL"/>
        </w:rPr>
        <w:t xml:space="preserve">) </w:t>
      </w:r>
      <w:r w:rsidRPr="00015B95">
        <w:rPr>
          <w:rFonts w:ascii="Times New Roman" w:eastAsia="Times New Roman" w:hAnsi="Times New Roman" w:cs="Times New Roman"/>
          <w:sz w:val="32"/>
          <w:szCs w:val="32"/>
          <w:lang w:bidi="he-IL"/>
        </w:rPr>
        <w:t xml:space="preserve">from their bondage, and </w:t>
      </w:r>
      <w:r w:rsidRPr="00015B95">
        <w:rPr>
          <w:rFonts w:ascii="Times New Roman" w:eastAsia="Times New Roman" w:hAnsi="Times New Roman" w:cs="Times New Roman"/>
          <w:b/>
          <w:bCs/>
          <w:sz w:val="32"/>
          <w:szCs w:val="32"/>
          <w:lang w:bidi="he-IL"/>
        </w:rPr>
        <w:t>I will redeem you</w:t>
      </w:r>
      <w:r w:rsidRPr="00015B95">
        <w:rPr>
          <w:rFonts w:ascii="Times New Roman" w:eastAsia="Times New Roman" w:hAnsi="Times New Roman" w:cs="Times New Roman"/>
          <w:sz w:val="32"/>
          <w:szCs w:val="32"/>
          <w:lang w:bidi="he-IL"/>
        </w:rPr>
        <w:t xml:space="preserve"> </w:t>
      </w:r>
      <w:r w:rsidR="00015B95">
        <w:rPr>
          <w:rFonts w:ascii="Times New Roman" w:eastAsia="Times New Roman" w:hAnsi="Times New Roman" w:cs="Times New Roman"/>
          <w:sz w:val="32"/>
          <w:szCs w:val="32"/>
          <w:lang w:bidi="he-IL"/>
        </w:rPr>
        <w:t>(</w:t>
      </w:r>
      <w:r w:rsidR="00015B95">
        <w:rPr>
          <w:rFonts w:ascii="Times New Roman" w:eastAsia="Times New Roman" w:hAnsi="Times New Roman" w:cs="Times New Roman" w:hint="cs"/>
          <w:sz w:val="32"/>
          <w:szCs w:val="32"/>
          <w:rtl/>
          <w:lang w:bidi="he-IL"/>
        </w:rPr>
        <w:t>וגאלתי</w:t>
      </w:r>
      <w:r w:rsidR="00015B95">
        <w:rPr>
          <w:rFonts w:ascii="Times New Roman" w:eastAsia="Times New Roman" w:hAnsi="Times New Roman" w:cs="Times New Roman"/>
          <w:sz w:val="32"/>
          <w:szCs w:val="32"/>
          <w:lang w:bidi="he-IL"/>
        </w:rPr>
        <w:t xml:space="preserve">) </w:t>
      </w:r>
      <w:r w:rsidRPr="00015B95">
        <w:rPr>
          <w:rFonts w:ascii="Times New Roman" w:eastAsia="Times New Roman" w:hAnsi="Times New Roman" w:cs="Times New Roman"/>
          <w:sz w:val="32"/>
          <w:szCs w:val="32"/>
          <w:lang w:bidi="he-IL"/>
        </w:rPr>
        <w:t xml:space="preserve">with an outstretched arm, and with great judgments. In Verse 7 He continues and </w:t>
      </w:r>
      <w:r w:rsidRPr="00015B95">
        <w:rPr>
          <w:rFonts w:ascii="Times New Roman" w:eastAsia="Times New Roman" w:hAnsi="Times New Roman" w:cs="Times New Roman"/>
          <w:b/>
          <w:bCs/>
          <w:sz w:val="32"/>
          <w:szCs w:val="32"/>
          <w:lang w:bidi="he-IL"/>
        </w:rPr>
        <w:t>I will take</w:t>
      </w:r>
      <w:r w:rsidRPr="00015B95">
        <w:rPr>
          <w:rFonts w:ascii="Times New Roman" w:eastAsia="Times New Roman" w:hAnsi="Times New Roman" w:cs="Times New Roman"/>
          <w:sz w:val="32"/>
          <w:szCs w:val="32"/>
          <w:lang w:bidi="he-IL"/>
        </w:rPr>
        <w:t xml:space="preserve"> </w:t>
      </w:r>
      <w:r w:rsidRPr="00015B95">
        <w:rPr>
          <w:rFonts w:ascii="Times New Roman" w:eastAsia="Times New Roman" w:hAnsi="Times New Roman" w:cs="Times New Roman"/>
          <w:b/>
          <w:bCs/>
          <w:sz w:val="32"/>
          <w:szCs w:val="32"/>
          <w:lang w:bidi="he-IL"/>
        </w:rPr>
        <w:t>you</w:t>
      </w:r>
      <w:r w:rsidR="00015B95">
        <w:rPr>
          <w:rFonts w:ascii="Times New Roman" w:eastAsia="Times New Roman" w:hAnsi="Times New Roman" w:cs="Times New Roman"/>
          <w:sz w:val="32"/>
          <w:szCs w:val="32"/>
          <w:lang w:bidi="he-IL"/>
        </w:rPr>
        <w:t xml:space="preserve"> (</w:t>
      </w:r>
      <w:r w:rsidR="00015B95">
        <w:rPr>
          <w:rFonts w:ascii="Times New Roman" w:eastAsia="Times New Roman" w:hAnsi="Times New Roman" w:cs="Times New Roman" w:hint="cs"/>
          <w:sz w:val="32"/>
          <w:szCs w:val="32"/>
          <w:rtl/>
          <w:lang w:bidi="he-IL"/>
        </w:rPr>
        <w:t>ולקחתי</w:t>
      </w:r>
      <w:r w:rsidR="00015B95">
        <w:rPr>
          <w:rFonts w:ascii="Times New Roman" w:eastAsia="Times New Roman" w:hAnsi="Times New Roman" w:cs="Times New Roman"/>
          <w:sz w:val="32"/>
          <w:szCs w:val="32"/>
          <w:lang w:bidi="he-IL"/>
        </w:rPr>
        <w:t>)</w:t>
      </w:r>
      <w:r w:rsidRPr="00015B95">
        <w:rPr>
          <w:rFonts w:ascii="Times New Roman" w:eastAsia="Times New Roman" w:hAnsi="Times New Roman" w:cs="Times New Roman"/>
          <w:sz w:val="32"/>
          <w:szCs w:val="32"/>
          <w:lang w:bidi="he-IL"/>
        </w:rPr>
        <w:t xml:space="preserve"> to Me for a p</w:t>
      </w:r>
      <w:r w:rsidR="00015B95">
        <w:rPr>
          <w:rFonts w:ascii="Times New Roman" w:eastAsia="Times New Roman" w:hAnsi="Times New Roman" w:cs="Times New Roman"/>
          <w:sz w:val="32"/>
          <w:szCs w:val="32"/>
          <w:lang w:bidi="he-IL"/>
        </w:rPr>
        <w:t>eople, and I will be to you a G-d; and you</w:t>
      </w:r>
      <w:r w:rsidRPr="00015B95">
        <w:rPr>
          <w:rFonts w:ascii="Times New Roman" w:eastAsia="Times New Roman" w:hAnsi="Times New Roman" w:cs="Times New Roman"/>
          <w:sz w:val="32"/>
          <w:szCs w:val="32"/>
          <w:lang w:bidi="he-IL"/>
        </w:rPr>
        <w:t xml:space="preserve"> shall</w:t>
      </w:r>
      <w:r w:rsidR="00015B95">
        <w:rPr>
          <w:rFonts w:ascii="Times New Roman" w:eastAsia="Times New Roman" w:hAnsi="Times New Roman" w:cs="Times New Roman"/>
          <w:sz w:val="32"/>
          <w:szCs w:val="32"/>
          <w:lang w:bidi="he-IL"/>
        </w:rPr>
        <w:t xml:space="preserve"> know that I am the LORD your G-</w:t>
      </w:r>
      <w:r w:rsidRPr="00015B95">
        <w:rPr>
          <w:rFonts w:ascii="Times New Roman" w:eastAsia="Times New Roman" w:hAnsi="Times New Roman" w:cs="Times New Roman"/>
          <w:sz w:val="32"/>
          <w:szCs w:val="32"/>
          <w:lang w:bidi="he-IL"/>
        </w:rPr>
        <w:t xml:space="preserve">d, who brought you out from under the burdens of the Egyptians. The four verbs </w:t>
      </w:r>
      <w:r w:rsidR="00015B95" w:rsidRPr="00015B95">
        <w:rPr>
          <w:rFonts w:ascii="Times New Roman" w:eastAsia="Times New Roman" w:hAnsi="Times New Roman" w:cs="Times New Roman"/>
          <w:sz w:val="32"/>
          <w:szCs w:val="32"/>
          <w:lang w:bidi="he-IL"/>
        </w:rPr>
        <w:t xml:space="preserve">indicate the movement from slavery in Egypt, the place which is narrow, to becoming G-d’s people. They correspond to the four cups of wine drunk at the Passover Seder. However, there is a fifth verb in verse 8, </w:t>
      </w:r>
      <w:r w:rsidR="00015B95" w:rsidRPr="00015B95">
        <w:rPr>
          <w:rFonts w:ascii="Times New Roman" w:eastAsia="Times New Roman" w:hAnsi="Times New Roman" w:cs="Times New Roman" w:hint="cs"/>
          <w:sz w:val="32"/>
          <w:szCs w:val="32"/>
          <w:lang w:bidi="he-IL"/>
        </w:rPr>
        <w:t xml:space="preserve">And </w:t>
      </w:r>
      <w:r w:rsidR="00015B95" w:rsidRPr="00015B95">
        <w:rPr>
          <w:rFonts w:ascii="Times New Roman" w:eastAsia="Times New Roman" w:hAnsi="Times New Roman" w:cs="Times New Roman" w:hint="cs"/>
          <w:b/>
          <w:bCs/>
          <w:sz w:val="32"/>
          <w:szCs w:val="32"/>
          <w:lang w:bidi="he-IL"/>
        </w:rPr>
        <w:t>I will bring you</w:t>
      </w:r>
      <w:r w:rsidR="00015B95" w:rsidRPr="00015B95">
        <w:rPr>
          <w:rFonts w:ascii="Times New Roman" w:eastAsia="Times New Roman" w:hAnsi="Times New Roman" w:cs="Times New Roman" w:hint="cs"/>
          <w:sz w:val="32"/>
          <w:szCs w:val="32"/>
          <w:lang w:bidi="he-IL"/>
        </w:rPr>
        <w:t xml:space="preserve"> </w:t>
      </w:r>
      <w:r w:rsidR="00015B95" w:rsidRPr="00015B95">
        <w:rPr>
          <w:rFonts w:ascii="Times New Roman" w:eastAsia="Times New Roman" w:hAnsi="Times New Roman" w:cs="Times New Roman"/>
          <w:sz w:val="32"/>
          <w:szCs w:val="32"/>
          <w:lang w:bidi="he-IL"/>
        </w:rPr>
        <w:t>(</w:t>
      </w:r>
      <w:r w:rsidR="00015B95" w:rsidRPr="00015B95">
        <w:rPr>
          <w:rFonts w:ascii="Times New Roman" w:eastAsia="Times New Roman" w:hAnsi="Times New Roman" w:cs="Times New Roman" w:hint="cs"/>
          <w:sz w:val="32"/>
          <w:szCs w:val="32"/>
          <w:rtl/>
          <w:lang w:bidi="he-IL"/>
        </w:rPr>
        <w:t>והבאתי</w:t>
      </w:r>
      <w:r w:rsidR="00015B95" w:rsidRPr="00015B95">
        <w:rPr>
          <w:rFonts w:ascii="Times New Roman" w:eastAsia="Times New Roman" w:hAnsi="Times New Roman" w:cs="Times New Roman"/>
          <w:sz w:val="32"/>
          <w:szCs w:val="32"/>
          <w:lang w:bidi="he-IL"/>
        </w:rPr>
        <w:t xml:space="preserve">) </w:t>
      </w:r>
      <w:r w:rsidR="009405E2">
        <w:rPr>
          <w:rFonts w:ascii="Times New Roman" w:eastAsia="Times New Roman" w:hAnsi="Times New Roman" w:cs="Times New Roman"/>
          <w:sz w:val="32"/>
          <w:szCs w:val="32"/>
          <w:lang w:bidi="he-IL"/>
        </w:rPr>
        <w:t>into</w:t>
      </w:r>
      <w:r w:rsidR="00015B95" w:rsidRPr="00015B95">
        <w:rPr>
          <w:rFonts w:ascii="Times New Roman" w:eastAsia="Times New Roman" w:hAnsi="Times New Roman" w:cs="Times New Roman" w:hint="cs"/>
          <w:sz w:val="32"/>
          <w:szCs w:val="32"/>
          <w:lang w:bidi="he-IL"/>
        </w:rPr>
        <w:t xml:space="preserve"> the land, concerning which I lifted up My hand to give it to Abraham, to Isaac, and to Jacob; and I will give it you for a heritage: I am the LORD.'</w:t>
      </w:r>
    </w:p>
    <w:p w:rsidR="00015B95" w:rsidRDefault="00015B95" w:rsidP="009405E2">
      <w:pPr>
        <w:spacing w:after="0" w:line="480" w:lineRule="auto"/>
        <w:rPr>
          <w:rFonts w:ascii="Times New Roman" w:eastAsia="Times New Roman" w:hAnsi="Times New Roman" w:cs="Times New Roman"/>
          <w:sz w:val="32"/>
          <w:szCs w:val="32"/>
          <w:lang w:bidi="he-IL"/>
        </w:rPr>
      </w:pPr>
      <w:r>
        <w:rPr>
          <w:rFonts w:ascii="Times New Roman" w:eastAsia="Times New Roman" w:hAnsi="Times New Roman" w:cs="Times New Roman"/>
          <w:sz w:val="32"/>
          <w:szCs w:val="32"/>
          <w:lang w:bidi="he-IL"/>
        </w:rPr>
        <w:tab/>
        <w:t xml:space="preserve">To what does the fifth cup correspond? Some argue that it is Elijah’s cup, that which we fill but from which we do not drink. The Babylonian Talmud follows the tradition that we only drink from four </w:t>
      </w:r>
      <w:r>
        <w:rPr>
          <w:rFonts w:ascii="Times New Roman" w:eastAsia="Times New Roman" w:hAnsi="Times New Roman" w:cs="Times New Roman"/>
          <w:sz w:val="32"/>
          <w:szCs w:val="32"/>
          <w:lang w:bidi="he-IL"/>
        </w:rPr>
        <w:lastRenderedPageBreak/>
        <w:t>cups,</w:t>
      </w:r>
      <w:r>
        <w:rPr>
          <w:rStyle w:val="FootnoteReference"/>
          <w:rFonts w:ascii="Times New Roman" w:eastAsia="Times New Roman" w:hAnsi="Times New Roman" w:cs="Times New Roman"/>
          <w:sz w:val="32"/>
          <w:szCs w:val="32"/>
          <w:lang w:bidi="he-IL"/>
        </w:rPr>
        <w:footnoteReference w:id="3"/>
      </w:r>
      <w:r>
        <w:rPr>
          <w:rFonts w:ascii="Times New Roman" w:eastAsia="Times New Roman" w:hAnsi="Times New Roman" w:cs="Times New Roman"/>
          <w:sz w:val="32"/>
          <w:szCs w:val="32"/>
          <w:lang w:bidi="he-IL"/>
        </w:rPr>
        <w:t xml:space="preserve"> stating that the first cup is drunk to sanctify the day,</w:t>
      </w:r>
      <w:r>
        <w:rPr>
          <w:rStyle w:val="FootnoteReference"/>
          <w:rFonts w:ascii="Times New Roman" w:eastAsia="Times New Roman" w:hAnsi="Times New Roman" w:cs="Times New Roman"/>
          <w:sz w:val="32"/>
          <w:szCs w:val="32"/>
          <w:lang w:bidi="he-IL"/>
        </w:rPr>
        <w:footnoteReference w:id="4"/>
      </w:r>
      <w:r>
        <w:rPr>
          <w:rFonts w:ascii="Times New Roman" w:eastAsia="Times New Roman" w:hAnsi="Times New Roman" w:cs="Times New Roman"/>
          <w:sz w:val="32"/>
          <w:szCs w:val="32"/>
          <w:lang w:bidi="he-IL"/>
        </w:rPr>
        <w:t xml:space="preserve"> the second cup is poured before the recitation of the 4 questions,</w:t>
      </w:r>
      <w:r>
        <w:rPr>
          <w:rStyle w:val="FootnoteReference"/>
          <w:rFonts w:ascii="Times New Roman" w:eastAsia="Times New Roman" w:hAnsi="Times New Roman" w:cs="Times New Roman"/>
          <w:sz w:val="32"/>
          <w:szCs w:val="32"/>
          <w:lang w:bidi="he-IL"/>
        </w:rPr>
        <w:footnoteReference w:id="5"/>
      </w:r>
      <w:r>
        <w:rPr>
          <w:rFonts w:ascii="Times New Roman" w:eastAsia="Times New Roman" w:hAnsi="Times New Roman" w:cs="Times New Roman"/>
          <w:sz w:val="32"/>
          <w:szCs w:val="32"/>
          <w:lang w:bidi="he-IL"/>
        </w:rPr>
        <w:t xml:space="preserve"> the third cup is over the festival meal and the fourth cup is over Hallel and </w:t>
      </w:r>
      <w:r w:rsidR="00966B6B">
        <w:rPr>
          <w:rFonts w:ascii="Times New Roman" w:eastAsia="Times New Roman" w:hAnsi="Times New Roman" w:cs="Times New Roman"/>
          <w:sz w:val="32"/>
          <w:szCs w:val="32"/>
          <w:lang w:bidi="he-IL"/>
        </w:rPr>
        <w:t>the “Grace of Song,” which according to Rabbi Tarfon refers to Psalm 136</w:t>
      </w:r>
      <w:r>
        <w:rPr>
          <w:rFonts w:ascii="Times New Roman" w:eastAsia="Times New Roman" w:hAnsi="Times New Roman" w:cs="Times New Roman"/>
          <w:sz w:val="32"/>
          <w:szCs w:val="32"/>
          <w:lang w:bidi="he-IL"/>
        </w:rPr>
        <w:t>.</w:t>
      </w:r>
      <w:r w:rsidR="00966B6B">
        <w:rPr>
          <w:rStyle w:val="FootnoteReference"/>
          <w:rFonts w:ascii="Times New Roman" w:eastAsia="Times New Roman" w:hAnsi="Times New Roman" w:cs="Times New Roman"/>
          <w:sz w:val="32"/>
          <w:szCs w:val="32"/>
          <w:lang w:bidi="he-IL"/>
        </w:rPr>
        <w:footnoteReference w:id="6"/>
      </w:r>
      <w:r w:rsidR="00966B6B">
        <w:rPr>
          <w:rFonts w:ascii="Times New Roman" w:eastAsia="Times New Roman" w:hAnsi="Times New Roman" w:cs="Times New Roman"/>
          <w:sz w:val="32"/>
          <w:szCs w:val="32"/>
          <w:lang w:bidi="he-IL"/>
        </w:rPr>
        <w:t xml:space="preserve"> Interestingly, Rashi, the medieval commentator on the Talmud par excellence, writes in his comment on the fourth cup </w:t>
      </w:r>
      <w:r w:rsidR="00966B6B">
        <w:rPr>
          <w:rFonts w:ascii="Times New Roman" w:eastAsia="Times New Roman" w:hAnsi="Times New Roman" w:cs="Times New Roman"/>
          <w:b/>
          <w:bCs/>
          <w:sz w:val="32"/>
          <w:szCs w:val="32"/>
          <w:lang w:bidi="he-IL"/>
        </w:rPr>
        <w:t>in our version</w:t>
      </w:r>
      <w:r w:rsidR="009405E2">
        <w:rPr>
          <w:rFonts w:ascii="Times New Roman" w:eastAsia="Times New Roman" w:hAnsi="Times New Roman" w:cs="Times New Roman"/>
          <w:b/>
          <w:bCs/>
          <w:sz w:val="32"/>
          <w:szCs w:val="32"/>
          <w:lang w:bidi="he-IL"/>
        </w:rPr>
        <w:t>,</w:t>
      </w:r>
      <w:r w:rsidR="009405E2">
        <w:rPr>
          <w:rFonts w:ascii="Times New Roman" w:eastAsia="Times New Roman" w:hAnsi="Times New Roman" w:cs="Times New Roman" w:hint="cs"/>
          <w:b/>
          <w:bCs/>
          <w:sz w:val="32"/>
          <w:szCs w:val="32"/>
          <w:rtl/>
          <w:lang w:bidi="he-IL"/>
        </w:rPr>
        <w:t xml:space="preserve"> (הכי גרסינן)</w:t>
      </w:r>
      <w:r w:rsidR="009405E2">
        <w:rPr>
          <w:rFonts w:ascii="Times New Roman" w:eastAsia="Times New Roman" w:hAnsi="Times New Roman" w:cs="Times New Roman"/>
          <w:b/>
          <w:bCs/>
          <w:sz w:val="32"/>
          <w:szCs w:val="32"/>
          <w:lang w:bidi="he-IL"/>
        </w:rPr>
        <w:t xml:space="preserve"> </w:t>
      </w:r>
      <w:r w:rsidR="009405E2">
        <w:rPr>
          <w:rFonts w:ascii="Times New Roman" w:eastAsia="Times New Roman" w:hAnsi="Times New Roman" w:cs="Times New Roman"/>
          <w:sz w:val="32"/>
          <w:szCs w:val="32"/>
          <w:lang w:bidi="he-IL"/>
        </w:rPr>
        <w:t>i</w:t>
      </w:r>
      <w:r w:rsidR="00966B6B">
        <w:rPr>
          <w:rFonts w:ascii="Times New Roman" w:eastAsia="Times New Roman" w:hAnsi="Times New Roman" w:cs="Times New Roman"/>
          <w:sz w:val="32"/>
          <w:szCs w:val="32"/>
          <w:lang w:bidi="he-IL"/>
        </w:rPr>
        <w:t xml:space="preserve">ndicating that there are other versions of the text. </w:t>
      </w:r>
      <w:r w:rsidR="00C55AAA">
        <w:rPr>
          <w:rFonts w:ascii="Times New Roman" w:eastAsia="Times New Roman" w:hAnsi="Times New Roman" w:cs="Times New Roman"/>
          <w:sz w:val="32"/>
          <w:szCs w:val="32"/>
          <w:lang w:bidi="he-IL"/>
        </w:rPr>
        <w:t>We know that there were multiple manuscripts of the Babylonian Talmud (</w:t>
      </w:r>
      <w:r w:rsidR="00C55AAA">
        <w:rPr>
          <w:rFonts w:ascii="Times New Roman" w:eastAsia="Times New Roman" w:hAnsi="Times New Roman" w:cs="Times New Roman" w:hint="cs"/>
          <w:sz w:val="32"/>
          <w:szCs w:val="32"/>
          <w:rtl/>
          <w:lang w:bidi="he-IL"/>
        </w:rPr>
        <w:t>בבלי</w:t>
      </w:r>
      <w:r w:rsidR="00C55AAA">
        <w:rPr>
          <w:rFonts w:ascii="Times New Roman" w:eastAsia="Times New Roman" w:hAnsi="Times New Roman" w:cs="Times New Roman"/>
          <w:sz w:val="32"/>
          <w:szCs w:val="32"/>
          <w:lang w:bidi="he-IL"/>
        </w:rPr>
        <w:t xml:space="preserve">) as well as the Jerusalem Talmud </w:t>
      </w:r>
      <w:r w:rsidR="00C55AAA">
        <w:rPr>
          <w:rFonts w:ascii="Times New Roman" w:eastAsia="Times New Roman" w:hAnsi="Times New Roman" w:cs="Times New Roman" w:hint="cs"/>
          <w:sz w:val="32"/>
          <w:szCs w:val="32"/>
          <w:rtl/>
          <w:lang w:bidi="he-IL"/>
        </w:rPr>
        <w:t>(ירושלמי)</w:t>
      </w:r>
      <w:r w:rsidR="00C55AAA">
        <w:rPr>
          <w:rFonts w:ascii="Times New Roman" w:eastAsia="Times New Roman" w:hAnsi="Times New Roman" w:cs="Times New Roman"/>
          <w:sz w:val="32"/>
          <w:szCs w:val="32"/>
          <w:lang w:bidi="he-IL"/>
        </w:rPr>
        <w:t>.</w:t>
      </w:r>
    </w:p>
    <w:p w:rsidR="00966B6B" w:rsidRDefault="00966B6B" w:rsidP="009405E2">
      <w:pPr>
        <w:spacing w:after="0" w:line="480" w:lineRule="auto"/>
        <w:rPr>
          <w:rFonts w:ascii="Times New Roman" w:eastAsia="Times New Roman" w:hAnsi="Times New Roman" w:cs="Times New Roman"/>
          <w:sz w:val="32"/>
          <w:szCs w:val="32"/>
          <w:lang w:bidi="he-IL"/>
        </w:rPr>
      </w:pPr>
      <w:r>
        <w:rPr>
          <w:rFonts w:ascii="Times New Roman" w:eastAsia="Times New Roman" w:hAnsi="Times New Roman" w:cs="Times New Roman"/>
          <w:sz w:val="32"/>
          <w:szCs w:val="32"/>
          <w:lang w:bidi="he-IL"/>
        </w:rPr>
        <w:tab/>
        <w:t>It is the latter that I wish to turn to now. The Rif, Rabbi Yitzhak Alfasi, an 11</w:t>
      </w:r>
      <w:r w:rsidRPr="00966B6B">
        <w:rPr>
          <w:rFonts w:ascii="Times New Roman" w:eastAsia="Times New Roman" w:hAnsi="Times New Roman" w:cs="Times New Roman"/>
          <w:sz w:val="32"/>
          <w:szCs w:val="32"/>
          <w:vertAlign w:val="superscript"/>
          <w:lang w:bidi="he-IL"/>
        </w:rPr>
        <w:t>th</w:t>
      </w:r>
      <w:r>
        <w:rPr>
          <w:rFonts w:ascii="Times New Roman" w:eastAsia="Times New Roman" w:hAnsi="Times New Roman" w:cs="Times New Roman"/>
          <w:sz w:val="32"/>
          <w:szCs w:val="32"/>
          <w:lang w:bidi="he-IL"/>
        </w:rPr>
        <w:t xml:space="preserve"> century Moroccan commentator who published a “cliff notes” version on the Babylonian Talmud, begins this section by referencing the Jerusalem Talmud. He cites sections of the text but he references Rabbi Tarfon as s</w:t>
      </w:r>
      <w:r w:rsidR="009405E2">
        <w:rPr>
          <w:rFonts w:ascii="Times New Roman" w:eastAsia="Times New Roman" w:hAnsi="Times New Roman" w:cs="Times New Roman"/>
          <w:sz w:val="32"/>
          <w:szCs w:val="32"/>
          <w:lang w:bidi="he-IL"/>
        </w:rPr>
        <w:t>tating</w:t>
      </w:r>
      <w:r>
        <w:rPr>
          <w:rFonts w:ascii="Times New Roman" w:eastAsia="Times New Roman" w:hAnsi="Times New Roman" w:cs="Times New Roman"/>
          <w:sz w:val="32"/>
          <w:szCs w:val="32"/>
          <w:lang w:bidi="he-IL"/>
        </w:rPr>
        <w:t xml:space="preserve"> that Psalm 136 is said over the </w:t>
      </w:r>
      <w:r>
        <w:rPr>
          <w:rFonts w:ascii="Times New Roman" w:eastAsia="Times New Roman" w:hAnsi="Times New Roman" w:cs="Times New Roman"/>
          <w:b/>
          <w:bCs/>
          <w:sz w:val="32"/>
          <w:szCs w:val="32"/>
          <w:lang w:bidi="he-IL"/>
        </w:rPr>
        <w:t xml:space="preserve">fifth </w:t>
      </w:r>
      <w:r>
        <w:rPr>
          <w:rFonts w:ascii="Times New Roman" w:eastAsia="Times New Roman" w:hAnsi="Times New Roman" w:cs="Times New Roman"/>
          <w:b/>
          <w:bCs/>
          <w:sz w:val="32"/>
          <w:szCs w:val="32"/>
          <w:lang w:bidi="he-IL"/>
        </w:rPr>
        <w:lastRenderedPageBreak/>
        <w:t>cup.</w:t>
      </w:r>
      <w:r w:rsidR="00143C44">
        <w:rPr>
          <w:rStyle w:val="FootnoteReference"/>
          <w:rFonts w:ascii="Times New Roman" w:eastAsia="Times New Roman" w:hAnsi="Times New Roman" w:cs="Times New Roman"/>
          <w:b/>
          <w:bCs/>
          <w:sz w:val="32"/>
          <w:szCs w:val="32"/>
          <w:lang w:bidi="he-IL"/>
        </w:rPr>
        <w:footnoteReference w:id="7"/>
      </w:r>
      <w:r w:rsidR="00143C44">
        <w:rPr>
          <w:rFonts w:ascii="Times New Roman" w:eastAsia="Times New Roman" w:hAnsi="Times New Roman" w:cs="Times New Roman"/>
          <w:sz w:val="32"/>
          <w:szCs w:val="32"/>
          <w:lang w:bidi="he-IL"/>
        </w:rPr>
        <w:t xml:space="preserve"> The Jerusalem Talmud was an earlier version, compiled in the 4</w:t>
      </w:r>
      <w:r w:rsidR="00143C44" w:rsidRPr="00143C44">
        <w:rPr>
          <w:rFonts w:ascii="Times New Roman" w:eastAsia="Times New Roman" w:hAnsi="Times New Roman" w:cs="Times New Roman"/>
          <w:sz w:val="32"/>
          <w:szCs w:val="32"/>
          <w:vertAlign w:val="superscript"/>
          <w:lang w:bidi="he-IL"/>
        </w:rPr>
        <w:t>th</w:t>
      </w:r>
      <w:r w:rsidR="00143C44">
        <w:rPr>
          <w:rFonts w:ascii="Times New Roman" w:eastAsia="Times New Roman" w:hAnsi="Times New Roman" w:cs="Times New Roman"/>
          <w:sz w:val="32"/>
          <w:szCs w:val="32"/>
          <w:lang w:bidi="he-IL"/>
        </w:rPr>
        <w:t xml:space="preserve"> century CE, and thus some argue that we should follow that tradition, even though the Babylonian Talmud has become authoritative. Maimonides references that some have the tradition of pouring a fifth cup but it is not obligatory like the other four.</w:t>
      </w:r>
      <w:r w:rsidR="00143C44">
        <w:rPr>
          <w:rStyle w:val="FootnoteReference"/>
          <w:rFonts w:ascii="Times New Roman" w:eastAsia="Times New Roman" w:hAnsi="Times New Roman" w:cs="Times New Roman"/>
          <w:sz w:val="32"/>
          <w:szCs w:val="32"/>
          <w:lang w:bidi="he-IL"/>
        </w:rPr>
        <w:footnoteReference w:id="8"/>
      </w:r>
    </w:p>
    <w:p w:rsidR="004953EC" w:rsidRDefault="00143C44" w:rsidP="009405E2">
      <w:pPr>
        <w:spacing w:after="0" w:line="480" w:lineRule="auto"/>
        <w:rPr>
          <w:rFonts w:ascii="Times New Roman" w:eastAsia="Times New Roman" w:hAnsi="Times New Roman" w:cs="Times New Roman"/>
          <w:sz w:val="32"/>
          <w:szCs w:val="32"/>
          <w:lang w:bidi="he-IL"/>
        </w:rPr>
      </w:pPr>
      <w:r>
        <w:rPr>
          <w:rFonts w:ascii="Times New Roman" w:eastAsia="Times New Roman" w:hAnsi="Times New Roman" w:cs="Times New Roman"/>
          <w:sz w:val="32"/>
          <w:szCs w:val="32"/>
          <w:lang w:bidi="he-IL"/>
        </w:rPr>
        <w:tab/>
        <w:t xml:space="preserve">What does this have to do with us and why would the tradition have changed? </w:t>
      </w:r>
      <w:r w:rsidR="0088005E">
        <w:rPr>
          <w:rFonts w:ascii="Times New Roman" w:eastAsia="Times New Roman" w:hAnsi="Times New Roman" w:cs="Times New Roman"/>
          <w:sz w:val="32"/>
          <w:szCs w:val="32"/>
          <w:lang w:bidi="he-IL"/>
        </w:rPr>
        <w:t>One</w:t>
      </w:r>
      <w:r w:rsidR="007D29CA">
        <w:rPr>
          <w:rFonts w:ascii="Times New Roman" w:eastAsia="Times New Roman" w:hAnsi="Times New Roman" w:cs="Times New Roman"/>
          <w:sz w:val="32"/>
          <w:szCs w:val="32"/>
          <w:lang w:bidi="he-IL"/>
        </w:rPr>
        <w:t xml:space="preserve"> take is that the earliest tradition was the drinking of a fifth cup connected to the fifth verb about being brought into the Land of Israel. When it became clear that our ancestors would stay in exile, the fifth cup, and thereby the fifth verb about being brought into Israel, </w:t>
      </w:r>
      <w:r w:rsidR="009405E2">
        <w:rPr>
          <w:rFonts w:ascii="Times New Roman" w:eastAsia="Times New Roman" w:hAnsi="Times New Roman" w:cs="Times New Roman"/>
          <w:sz w:val="32"/>
          <w:szCs w:val="32"/>
          <w:lang w:bidi="he-IL"/>
        </w:rPr>
        <w:t>were</w:t>
      </w:r>
      <w:r w:rsidR="007D29CA">
        <w:rPr>
          <w:rFonts w:ascii="Times New Roman" w:eastAsia="Times New Roman" w:hAnsi="Times New Roman" w:cs="Times New Roman"/>
          <w:sz w:val="32"/>
          <w:szCs w:val="32"/>
          <w:lang w:bidi="he-IL"/>
        </w:rPr>
        <w:t xml:space="preserve"> omitted. Another take is that the fifth cup represents the fifth enemy kingdom, of Gog, which will lead to the coming of the Messianic Age.</w:t>
      </w:r>
      <w:r w:rsidR="007D29CA">
        <w:rPr>
          <w:rStyle w:val="FootnoteReference"/>
          <w:rFonts w:ascii="Times New Roman" w:eastAsia="Times New Roman" w:hAnsi="Times New Roman" w:cs="Times New Roman"/>
          <w:sz w:val="32"/>
          <w:szCs w:val="32"/>
          <w:lang w:bidi="he-IL"/>
        </w:rPr>
        <w:footnoteReference w:id="9"/>
      </w:r>
      <w:r>
        <w:rPr>
          <w:rFonts w:ascii="Times New Roman" w:eastAsia="Times New Roman" w:hAnsi="Times New Roman" w:cs="Times New Roman"/>
          <w:sz w:val="32"/>
          <w:szCs w:val="32"/>
          <w:lang w:bidi="he-IL"/>
        </w:rPr>
        <w:t xml:space="preserve"> </w:t>
      </w:r>
      <w:r w:rsidR="0088005E">
        <w:rPr>
          <w:rFonts w:ascii="Times New Roman" w:eastAsia="Times New Roman" w:hAnsi="Times New Roman" w:cs="Times New Roman"/>
          <w:sz w:val="32"/>
          <w:szCs w:val="32"/>
          <w:lang w:bidi="he-IL"/>
        </w:rPr>
        <w:t xml:space="preserve">I prefer the former take but whether it is historically accurate or not, I feel that we need to do something to acknowledge Israel as part of </w:t>
      </w:r>
      <w:r w:rsidR="0088005E">
        <w:rPr>
          <w:rFonts w:ascii="Times New Roman" w:eastAsia="Times New Roman" w:hAnsi="Times New Roman" w:cs="Times New Roman"/>
          <w:sz w:val="32"/>
          <w:szCs w:val="32"/>
          <w:lang w:bidi="he-IL"/>
        </w:rPr>
        <w:lastRenderedPageBreak/>
        <w:t xml:space="preserve">our Passover Seder. We tell the story of the Exodus, with the 10 plagues and the splitting of the sea, but our story is incomplete without </w:t>
      </w:r>
      <w:r w:rsidR="009405E2">
        <w:rPr>
          <w:rFonts w:ascii="Times New Roman" w:eastAsia="Times New Roman" w:hAnsi="Times New Roman" w:cs="Times New Roman"/>
          <w:sz w:val="32"/>
          <w:szCs w:val="32"/>
          <w:lang w:bidi="he-IL"/>
        </w:rPr>
        <w:t>its</w:t>
      </w:r>
      <w:r w:rsidR="0088005E">
        <w:rPr>
          <w:rFonts w:ascii="Times New Roman" w:eastAsia="Times New Roman" w:hAnsi="Times New Roman" w:cs="Times New Roman"/>
          <w:sz w:val="32"/>
          <w:szCs w:val="32"/>
          <w:lang w:bidi="he-IL"/>
        </w:rPr>
        <w:t xml:space="preserve"> next chapter, the entering of the Promised Land, just like our Torah is incomplete without the knowledge that Joshua would lead our ancestors to conquer the Land of Canaan.</w:t>
      </w:r>
    </w:p>
    <w:p w:rsidR="007D4408" w:rsidRPr="0088005E" w:rsidRDefault="0088005E" w:rsidP="006A081C">
      <w:pPr>
        <w:spacing w:after="0" w:line="480" w:lineRule="auto"/>
        <w:rPr>
          <w:rFonts w:ascii="Times New Roman" w:eastAsia="Times New Roman" w:hAnsi="Times New Roman" w:cs="Times New Roman"/>
          <w:sz w:val="24"/>
          <w:szCs w:val="24"/>
          <w:lang w:bidi="he-IL"/>
        </w:rPr>
      </w:pPr>
      <w:r>
        <w:rPr>
          <w:rFonts w:ascii="Times New Roman" w:eastAsia="Times New Roman" w:hAnsi="Times New Roman" w:cs="Times New Roman"/>
          <w:sz w:val="32"/>
          <w:szCs w:val="32"/>
          <w:lang w:bidi="he-IL"/>
        </w:rPr>
        <w:tab/>
        <w:t xml:space="preserve">Tonight when you celebrate your Passover Seder, </w:t>
      </w:r>
      <w:r w:rsidR="006A081C">
        <w:rPr>
          <w:rFonts w:ascii="Times New Roman" w:eastAsia="Times New Roman" w:hAnsi="Times New Roman" w:cs="Times New Roman"/>
          <w:sz w:val="32"/>
          <w:szCs w:val="32"/>
          <w:lang w:bidi="he-IL"/>
        </w:rPr>
        <w:t>Let us reflect on what we</w:t>
      </w:r>
      <w:bookmarkStart w:id="0" w:name="_GoBack"/>
      <w:bookmarkEnd w:id="0"/>
      <w:r>
        <w:rPr>
          <w:rFonts w:ascii="Times New Roman" w:eastAsia="Times New Roman" w:hAnsi="Times New Roman" w:cs="Times New Roman"/>
          <w:sz w:val="32"/>
          <w:szCs w:val="32"/>
          <w:lang w:bidi="he-IL"/>
        </w:rPr>
        <w:t xml:space="preserve"> can do to incorporate Israel. For some it might be the singing of Israeli songs before the </w:t>
      </w:r>
      <w:r w:rsidR="009405E2">
        <w:rPr>
          <w:rFonts w:ascii="Times New Roman" w:eastAsia="Times New Roman" w:hAnsi="Times New Roman" w:cs="Times New Roman"/>
          <w:i/>
          <w:iCs/>
          <w:sz w:val="32"/>
          <w:szCs w:val="32"/>
          <w:lang w:bidi="he-IL"/>
        </w:rPr>
        <w:t xml:space="preserve">Birkat HaMazon </w:t>
      </w:r>
      <w:r w:rsidR="009405E2">
        <w:rPr>
          <w:rFonts w:ascii="Times New Roman" w:eastAsia="Times New Roman" w:hAnsi="Times New Roman" w:cs="Times New Roman" w:hint="cs"/>
          <w:sz w:val="32"/>
          <w:szCs w:val="32"/>
          <w:rtl/>
          <w:lang w:bidi="he-IL"/>
        </w:rPr>
        <w:t>(ברכת המזון)</w:t>
      </w:r>
      <w:r>
        <w:rPr>
          <w:rFonts w:ascii="Times New Roman" w:eastAsia="Times New Roman" w:hAnsi="Times New Roman" w:cs="Times New Roman"/>
          <w:sz w:val="32"/>
          <w:szCs w:val="32"/>
          <w:lang w:bidi="he-IL"/>
        </w:rPr>
        <w:t xml:space="preserve">; for others it might be to talk about the significance of living in an age where there is a land of Israel, a land which so many yearned for and dreamed about over the years. While we are not yet at the Messianic Age, an age of true peace and brotherhood, we are at an age where we can return to and embrace our historical homeland and make it part and parcel of every Jewish ritual, thus demonstrating that it is always on our minds and in our hearts. </w:t>
      </w:r>
      <w:r w:rsidR="009405E2">
        <w:rPr>
          <w:rFonts w:ascii="Times New Roman" w:eastAsia="Times New Roman" w:hAnsi="Times New Roman" w:cs="Times New Roman" w:hint="cs"/>
          <w:sz w:val="32"/>
          <w:szCs w:val="32"/>
          <w:rtl/>
          <w:lang w:bidi="he-IL"/>
        </w:rPr>
        <w:t xml:space="preserve">כן יהי רצון </w:t>
      </w:r>
      <w:r>
        <w:rPr>
          <w:rFonts w:ascii="Times New Roman" w:eastAsia="Times New Roman" w:hAnsi="Times New Roman" w:cs="Times New Roman"/>
          <w:sz w:val="32"/>
          <w:szCs w:val="32"/>
          <w:lang w:bidi="he-IL"/>
        </w:rPr>
        <w:t>, may it be our will to do so.</w:t>
      </w:r>
    </w:p>
    <w:sectPr w:rsidR="007D4408" w:rsidRPr="0088005E" w:rsidSect="00BE1F6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4E1" w:rsidRDefault="00E744E1" w:rsidP="004953EC">
      <w:pPr>
        <w:spacing w:after="0" w:line="240" w:lineRule="auto"/>
      </w:pPr>
      <w:r>
        <w:separator/>
      </w:r>
    </w:p>
  </w:endnote>
  <w:endnote w:type="continuationSeparator" w:id="0">
    <w:p w:rsidR="00E744E1" w:rsidRDefault="00E744E1" w:rsidP="004953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3EC" w:rsidRDefault="004953EC">
    <w:pPr>
      <w:pStyle w:val="Footer"/>
      <w:jc w:val="right"/>
    </w:pPr>
    <w:r>
      <w:fldChar w:fldCharType="begin"/>
    </w:r>
    <w:r>
      <w:instrText xml:space="preserve"> PAGE   \* MERGEFORMAT </w:instrText>
    </w:r>
    <w:r>
      <w:fldChar w:fldCharType="separate"/>
    </w:r>
    <w:r w:rsidR="006A081C">
      <w:rPr>
        <w:noProof/>
      </w:rPr>
      <w:t>5</w:t>
    </w:r>
    <w:r>
      <w:fldChar w:fldCharType="end"/>
    </w:r>
  </w:p>
  <w:p w:rsidR="004953EC" w:rsidRDefault="004953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4E1" w:rsidRDefault="00E744E1" w:rsidP="004953EC">
      <w:pPr>
        <w:spacing w:after="0" w:line="240" w:lineRule="auto"/>
      </w:pPr>
      <w:r>
        <w:separator/>
      </w:r>
    </w:p>
  </w:footnote>
  <w:footnote w:type="continuationSeparator" w:id="0">
    <w:p w:rsidR="00E744E1" w:rsidRDefault="00E744E1" w:rsidP="004953EC">
      <w:pPr>
        <w:spacing w:after="0" w:line="240" w:lineRule="auto"/>
      </w:pPr>
      <w:r>
        <w:continuationSeparator/>
      </w:r>
    </w:p>
  </w:footnote>
  <w:footnote w:id="1">
    <w:p w:rsidR="00C55AAA" w:rsidRPr="006A081C" w:rsidRDefault="00C55AAA" w:rsidP="00C55AAA">
      <w:pPr>
        <w:pStyle w:val="FootnoteText"/>
        <w:ind w:firstLine="720"/>
        <w:rPr>
          <w:rFonts w:asciiTheme="majorBidi" w:hAnsiTheme="majorBidi" w:cstheme="majorBidi"/>
          <w:rtl/>
          <w:lang w:bidi="he-IL"/>
        </w:rPr>
      </w:pPr>
      <w:r>
        <w:rPr>
          <w:rStyle w:val="FootnoteReference"/>
        </w:rPr>
        <w:footnoteRef/>
      </w:r>
      <w:r>
        <w:t xml:space="preserve"> </w:t>
      </w:r>
      <w:r>
        <w:rPr>
          <w:rFonts w:hint="cs"/>
          <w:rtl/>
          <w:lang w:bidi="he-IL"/>
        </w:rPr>
        <w:t xml:space="preserve">הא לחמא </w:t>
      </w:r>
      <w:r w:rsidRPr="006A081C">
        <w:rPr>
          <w:rFonts w:asciiTheme="majorBidi" w:hAnsiTheme="majorBidi" w:cstheme="majorBidi"/>
          <w:rtl/>
          <w:lang w:bidi="he-IL"/>
        </w:rPr>
        <w:t>עניא</w:t>
      </w:r>
    </w:p>
  </w:footnote>
  <w:footnote w:id="2">
    <w:p w:rsidR="00903C26" w:rsidRPr="006A081C" w:rsidRDefault="00903C26" w:rsidP="00903C26">
      <w:pPr>
        <w:pStyle w:val="FootnoteText"/>
        <w:ind w:firstLine="720"/>
        <w:rPr>
          <w:rFonts w:asciiTheme="majorBidi" w:hAnsiTheme="majorBidi" w:cstheme="majorBidi"/>
        </w:rPr>
      </w:pPr>
      <w:r w:rsidRPr="006A081C">
        <w:rPr>
          <w:rStyle w:val="FootnoteReference"/>
          <w:rFonts w:asciiTheme="majorBidi" w:hAnsiTheme="majorBidi" w:cstheme="majorBidi"/>
        </w:rPr>
        <w:footnoteRef/>
      </w:r>
      <w:r w:rsidRPr="006A081C">
        <w:rPr>
          <w:rFonts w:asciiTheme="majorBidi" w:hAnsiTheme="majorBidi" w:cstheme="majorBidi"/>
        </w:rPr>
        <w:t xml:space="preserve"> The next closest one gets is Dayenu at which point the exodus from Egypt is only the beginning, with the ending being given the Temple to atone for our sins.</w:t>
      </w:r>
    </w:p>
  </w:footnote>
  <w:footnote w:id="3">
    <w:p w:rsidR="00015B95" w:rsidRPr="006A081C" w:rsidRDefault="00015B95" w:rsidP="00015B95">
      <w:pPr>
        <w:pStyle w:val="FootnoteText"/>
        <w:ind w:firstLine="720"/>
        <w:rPr>
          <w:rFonts w:asciiTheme="majorBidi" w:hAnsiTheme="majorBidi" w:cstheme="majorBidi"/>
        </w:rPr>
      </w:pPr>
      <w:r w:rsidRPr="006A081C">
        <w:rPr>
          <w:rStyle w:val="FootnoteReference"/>
          <w:rFonts w:asciiTheme="majorBidi" w:hAnsiTheme="majorBidi" w:cstheme="majorBidi"/>
        </w:rPr>
        <w:footnoteRef/>
      </w:r>
      <w:r w:rsidRPr="006A081C">
        <w:rPr>
          <w:rFonts w:asciiTheme="majorBidi" w:hAnsiTheme="majorBidi" w:cstheme="majorBidi"/>
        </w:rPr>
        <w:t xml:space="preserve"> Babylonian Talmud Pesachim 108b </w:t>
      </w:r>
    </w:p>
  </w:footnote>
  <w:footnote w:id="4">
    <w:p w:rsidR="00015B95" w:rsidRPr="006A081C" w:rsidRDefault="00015B95" w:rsidP="00015B95">
      <w:pPr>
        <w:pStyle w:val="FootnoteText"/>
        <w:ind w:firstLine="720"/>
        <w:rPr>
          <w:rFonts w:asciiTheme="majorBidi" w:hAnsiTheme="majorBidi" w:cstheme="majorBidi"/>
        </w:rPr>
      </w:pPr>
      <w:r w:rsidRPr="006A081C">
        <w:rPr>
          <w:rStyle w:val="FootnoteReference"/>
          <w:rFonts w:asciiTheme="majorBidi" w:hAnsiTheme="majorBidi" w:cstheme="majorBidi"/>
        </w:rPr>
        <w:footnoteRef/>
      </w:r>
      <w:r w:rsidRPr="006A081C">
        <w:rPr>
          <w:rFonts w:asciiTheme="majorBidi" w:hAnsiTheme="majorBidi" w:cstheme="majorBidi"/>
        </w:rPr>
        <w:t xml:space="preserve"> Ibid, 114a</w:t>
      </w:r>
    </w:p>
  </w:footnote>
  <w:footnote w:id="5">
    <w:p w:rsidR="00015B95" w:rsidRPr="006A081C" w:rsidRDefault="00015B95" w:rsidP="00015B95">
      <w:pPr>
        <w:pStyle w:val="FootnoteText"/>
        <w:ind w:firstLine="720"/>
        <w:rPr>
          <w:rFonts w:asciiTheme="majorBidi" w:hAnsiTheme="majorBidi" w:cstheme="majorBidi"/>
        </w:rPr>
      </w:pPr>
      <w:r w:rsidRPr="006A081C">
        <w:rPr>
          <w:rStyle w:val="FootnoteReference"/>
          <w:rFonts w:asciiTheme="majorBidi" w:hAnsiTheme="majorBidi" w:cstheme="majorBidi"/>
        </w:rPr>
        <w:footnoteRef/>
      </w:r>
      <w:r w:rsidRPr="006A081C">
        <w:rPr>
          <w:rFonts w:asciiTheme="majorBidi" w:hAnsiTheme="majorBidi" w:cstheme="majorBidi"/>
        </w:rPr>
        <w:t xml:space="preserve"> Ibid, 116a</w:t>
      </w:r>
    </w:p>
  </w:footnote>
  <w:footnote w:id="6">
    <w:p w:rsidR="00966B6B" w:rsidRPr="006A081C" w:rsidRDefault="00966B6B" w:rsidP="00966B6B">
      <w:pPr>
        <w:pStyle w:val="FootnoteText"/>
        <w:ind w:firstLine="720"/>
        <w:rPr>
          <w:rFonts w:asciiTheme="majorBidi" w:hAnsiTheme="majorBidi" w:cstheme="majorBidi"/>
        </w:rPr>
      </w:pPr>
      <w:r w:rsidRPr="006A081C">
        <w:rPr>
          <w:rStyle w:val="FootnoteReference"/>
          <w:rFonts w:asciiTheme="majorBidi" w:hAnsiTheme="majorBidi" w:cstheme="majorBidi"/>
        </w:rPr>
        <w:footnoteRef/>
      </w:r>
      <w:r w:rsidRPr="006A081C">
        <w:rPr>
          <w:rFonts w:asciiTheme="majorBidi" w:hAnsiTheme="majorBidi" w:cstheme="majorBidi"/>
        </w:rPr>
        <w:t xml:space="preserve"> Ibid, 117a</w:t>
      </w:r>
    </w:p>
  </w:footnote>
  <w:footnote w:id="7">
    <w:p w:rsidR="00143C44" w:rsidRPr="006A081C" w:rsidRDefault="00143C44" w:rsidP="006A081C">
      <w:pPr>
        <w:pStyle w:val="FootnoteText"/>
        <w:rPr>
          <w:rFonts w:asciiTheme="majorBidi" w:hAnsiTheme="majorBidi" w:cstheme="majorBidi"/>
        </w:rPr>
      </w:pPr>
      <w:r w:rsidRPr="006A081C">
        <w:rPr>
          <w:rStyle w:val="FootnoteReference"/>
          <w:rFonts w:asciiTheme="majorBidi" w:hAnsiTheme="majorBidi" w:cstheme="majorBidi"/>
        </w:rPr>
        <w:footnoteRef/>
      </w:r>
      <w:r w:rsidRPr="006A081C">
        <w:rPr>
          <w:rFonts w:asciiTheme="majorBidi" w:hAnsiTheme="majorBidi" w:cstheme="majorBidi"/>
        </w:rPr>
        <w:t xml:space="preserve"> Rif on Babylonian Talmud Tractate Pesachim 36b</w:t>
      </w:r>
    </w:p>
  </w:footnote>
  <w:footnote w:id="8">
    <w:p w:rsidR="00143C44" w:rsidRPr="006A081C" w:rsidRDefault="00143C44" w:rsidP="001B2A68">
      <w:pPr>
        <w:shd w:val="clear" w:color="auto" w:fill="FFFFFF"/>
        <w:spacing w:before="100" w:beforeAutospacing="1" w:after="100" w:afterAutospacing="1" w:line="240" w:lineRule="auto"/>
        <w:outlineLvl w:val="0"/>
        <w:rPr>
          <w:rFonts w:asciiTheme="majorBidi" w:eastAsia="Times New Roman" w:hAnsiTheme="majorBidi" w:cstheme="majorBidi"/>
          <w:b/>
          <w:bCs/>
          <w:color w:val="000000"/>
          <w:kern w:val="36"/>
          <w:sz w:val="24"/>
          <w:szCs w:val="24"/>
        </w:rPr>
      </w:pPr>
      <w:r w:rsidRPr="006A081C">
        <w:rPr>
          <w:rStyle w:val="FootnoteReference"/>
          <w:rFonts w:asciiTheme="majorBidi" w:hAnsiTheme="majorBidi" w:cstheme="majorBidi"/>
        </w:rPr>
        <w:footnoteRef/>
      </w:r>
      <w:r w:rsidRPr="006A081C">
        <w:rPr>
          <w:rFonts w:asciiTheme="majorBidi" w:hAnsiTheme="majorBidi" w:cstheme="majorBidi"/>
        </w:rPr>
        <w:t xml:space="preserve"> </w:t>
      </w:r>
      <w:r w:rsidRPr="006A081C">
        <w:rPr>
          <w:rFonts w:asciiTheme="majorBidi" w:eastAsia="Times New Roman" w:hAnsiTheme="majorBidi" w:cstheme="majorBidi"/>
          <w:color w:val="000000"/>
          <w:kern w:val="36"/>
          <w:sz w:val="20"/>
          <w:szCs w:val="20"/>
        </w:rPr>
        <w:t>Maimonides Laws of Hametz and Matzah 8:10</w:t>
      </w:r>
    </w:p>
  </w:footnote>
  <w:footnote w:id="9">
    <w:p w:rsidR="007D29CA" w:rsidRPr="0088005E" w:rsidRDefault="007D29CA">
      <w:pPr>
        <w:pStyle w:val="FootnoteText"/>
      </w:pPr>
      <w:r w:rsidRPr="006A081C">
        <w:rPr>
          <w:rStyle w:val="FootnoteReference"/>
          <w:rFonts w:asciiTheme="majorBidi" w:hAnsiTheme="majorBidi" w:cstheme="majorBidi"/>
        </w:rPr>
        <w:footnoteRef/>
      </w:r>
      <w:r w:rsidRPr="006A081C">
        <w:rPr>
          <w:rFonts w:asciiTheme="majorBidi" w:hAnsiTheme="majorBidi" w:cstheme="majorBidi"/>
        </w:rPr>
        <w:t xml:space="preserve"> </w:t>
      </w:r>
      <w:r w:rsidR="0088005E" w:rsidRPr="006A081C">
        <w:rPr>
          <w:rFonts w:asciiTheme="majorBidi" w:hAnsiTheme="majorBidi" w:cstheme="majorBidi"/>
        </w:rPr>
        <w:t xml:space="preserve">Joshua Kulp, </w:t>
      </w:r>
      <w:r w:rsidR="0088005E" w:rsidRPr="006A081C">
        <w:rPr>
          <w:rFonts w:asciiTheme="majorBidi" w:hAnsiTheme="majorBidi" w:cstheme="majorBidi"/>
          <w:i/>
          <w:iCs/>
        </w:rPr>
        <w:t>The Schechter Haggadah: Art, History and Commentary</w:t>
      </w:r>
      <w:r w:rsidR="0088005E" w:rsidRPr="006A081C">
        <w:rPr>
          <w:rFonts w:asciiTheme="majorBidi" w:hAnsiTheme="majorBidi" w:cstheme="majorBidi"/>
        </w:rPr>
        <w:t xml:space="preserve"> (Jerusalem: The Schechter Institute of Jewish Studies, 2009), 175.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302"/>
    <w:rsid w:val="00015B95"/>
    <w:rsid w:val="00080D3B"/>
    <w:rsid w:val="00143C44"/>
    <w:rsid w:val="001B2A68"/>
    <w:rsid w:val="001F0CE3"/>
    <w:rsid w:val="00216F31"/>
    <w:rsid w:val="0035126B"/>
    <w:rsid w:val="004953EC"/>
    <w:rsid w:val="006A081C"/>
    <w:rsid w:val="006C7A59"/>
    <w:rsid w:val="00752302"/>
    <w:rsid w:val="007D29CA"/>
    <w:rsid w:val="007D4408"/>
    <w:rsid w:val="0088005E"/>
    <w:rsid w:val="00903C26"/>
    <w:rsid w:val="009405E2"/>
    <w:rsid w:val="00966B6B"/>
    <w:rsid w:val="009E645B"/>
    <w:rsid w:val="00A80FB2"/>
    <w:rsid w:val="00B7360B"/>
    <w:rsid w:val="00BE1F63"/>
    <w:rsid w:val="00C55AAA"/>
    <w:rsid w:val="00DC742E"/>
    <w:rsid w:val="00E744E1"/>
    <w:rsid w:val="00F414D6"/>
    <w:rsid w:val="00F829A6"/>
    <w:rsid w:val="00FA114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F63"/>
    <w:pPr>
      <w:spacing w:after="200" w:line="276" w:lineRule="auto"/>
    </w:pPr>
    <w:rPr>
      <w:sz w:val="22"/>
      <w:szCs w:val="22"/>
      <w:lang w:bidi="ar-SA"/>
    </w:rPr>
  </w:style>
  <w:style w:type="paragraph" w:styleId="Heading1">
    <w:name w:val="heading 1"/>
    <w:basedOn w:val="Normal"/>
    <w:link w:val="Heading1Char"/>
    <w:uiPriority w:val="9"/>
    <w:qFormat/>
    <w:rsid w:val="00FA1144"/>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2302"/>
    <w:rPr>
      <w:sz w:val="22"/>
      <w:szCs w:val="22"/>
      <w:lang w:bidi="ar-SA"/>
    </w:rPr>
  </w:style>
  <w:style w:type="character" w:customStyle="1" w:styleId="Heading1Char">
    <w:name w:val="Heading 1 Char"/>
    <w:basedOn w:val="DefaultParagraphFont"/>
    <w:link w:val="Heading1"/>
    <w:uiPriority w:val="9"/>
    <w:rsid w:val="00FA1144"/>
    <w:rPr>
      <w:rFonts w:ascii="Times New Roman" w:eastAsia="Times New Roman" w:hAnsi="Times New Roman" w:cs="Times New Roman"/>
      <w:b/>
      <w:bCs/>
      <w:kern w:val="36"/>
      <w:sz w:val="48"/>
      <w:szCs w:val="48"/>
      <w:lang w:bidi="he-IL"/>
    </w:rPr>
  </w:style>
  <w:style w:type="character" w:customStyle="1" w:styleId="apple-converted-space">
    <w:name w:val="apple-converted-space"/>
    <w:basedOn w:val="DefaultParagraphFont"/>
    <w:rsid w:val="00FA1144"/>
  </w:style>
  <w:style w:type="character" w:customStyle="1" w:styleId="h">
    <w:name w:val="h"/>
    <w:basedOn w:val="DefaultParagraphFont"/>
    <w:rsid w:val="00FA1144"/>
  </w:style>
  <w:style w:type="paragraph" w:styleId="NormalWeb">
    <w:name w:val="Normal (Web)"/>
    <w:basedOn w:val="Normal"/>
    <w:uiPriority w:val="99"/>
    <w:semiHidden/>
    <w:unhideWhenUsed/>
    <w:rsid w:val="00216F31"/>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Hyperlink">
    <w:name w:val="Hyperlink"/>
    <w:basedOn w:val="DefaultParagraphFont"/>
    <w:uiPriority w:val="99"/>
    <w:semiHidden/>
    <w:unhideWhenUsed/>
    <w:rsid w:val="00216F31"/>
    <w:rPr>
      <w:color w:val="0000FF"/>
      <w:u w:val="single"/>
    </w:rPr>
  </w:style>
  <w:style w:type="paragraph" w:styleId="Header">
    <w:name w:val="header"/>
    <w:basedOn w:val="Normal"/>
    <w:link w:val="HeaderChar"/>
    <w:uiPriority w:val="99"/>
    <w:semiHidden/>
    <w:unhideWhenUsed/>
    <w:rsid w:val="004953EC"/>
    <w:pPr>
      <w:tabs>
        <w:tab w:val="center" w:pos="4680"/>
        <w:tab w:val="right" w:pos="9360"/>
      </w:tabs>
    </w:pPr>
  </w:style>
  <w:style w:type="character" w:customStyle="1" w:styleId="HeaderChar">
    <w:name w:val="Header Char"/>
    <w:basedOn w:val="DefaultParagraphFont"/>
    <w:link w:val="Header"/>
    <w:uiPriority w:val="99"/>
    <w:semiHidden/>
    <w:rsid w:val="004953EC"/>
    <w:rPr>
      <w:sz w:val="22"/>
      <w:szCs w:val="22"/>
      <w:lang w:bidi="ar-SA"/>
    </w:rPr>
  </w:style>
  <w:style w:type="paragraph" w:styleId="Footer">
    <w:name w:val="footer"/>
    <w:basedOn w:val="Normal"/>
    <w:link w:val="FooterChar"/>
    <w:uiPriority w:val="99"/>
    <w:unhideWhenUsed/>
    <w:rsid w:val="004953EC"/>
    <w:pPr>
      <w:tabs>
        <w:tab w:val="center" w:pos="4680"/>
        <w:tab w:val="right" w:pos="9360"/>
      </w:tabs>
    </w:pPr>
  </w:style>
  <w:style w:type="character" w:customStyle="1" w:styleId="FooterChar">
    <w:name w:val="Footer Char"/>
    <w:basedOn w:val="DefaultParagraphFont"/>
    <w:link w:val="Footer"/>
    <w:uiPriority w:val="99"/>
    <w:rsid w:val="004953EC"/>
    <w:rPr>
      <w:sz w:val="22"/>
      <w:szCs w:val="22"/>
      <w:lang w:bidi="ar-SA"/>
    </w:rPr>
  </w:style>
  <w:style w:type="paragraph" w:styleId="FootnoteText">
    <w:name w:val="footnote text"/>
    <w:basedOn w:val="Normal"/>
    <w:link w:val="FootnoteTextChar"/>
    <w:uiPriority w:val="99"/>
    <w:semiHidden/>
    <w:unhideWhenUsed/>
    <w:rsid w:val="00015B95"/>
    <w:rPr>
      <w:sz w:val="20"/>
      <w:szCs w:val="20"/>
    </w:rPr>
  </w:style>
  <w:style w:type="character" w:customStyle="1" w:styleId="FootnoteTextChar">
    <w:name w:val="Footnote Text Char"/>
    <w:basedOn w:val="DefaultParagraphFont"/>
    <w:link w:val="FootnoteText"/>
    <w:uiPriority w:val="99"/>
    <w:semiHidden/>
    <w:rsid w:val="00015B95"/>
    <w:rPr>
      <w:lang w:bidi="ar-SA"/>
    </w:rPr>
  </w:style>
  <w:style w:type="character" w:styleId="FootnoteReference">
    <w:name w:val="footnote reference"/>
    <w:basedOn w:val="DefaultParagraphFont"/>
    <w:uiPriority w:val="99"/>
    <w:semiHidden/>
    <w:unhideWhenUsed/>
    <w:rsid w:val="00015B9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F63"/>
    <w:pPr>
      <w:spacing w:after="200" w:line="276" w:lineRule="auto"/>
    </w:pPr>
    <w:rPr>
      <w:sz w:val="22"/>
      <w:szCs w:val="22"/>
      <w:lang w:bidi="ar-SA"/>
    </w:rPr>
  </w:style>
  <w:style w:type="paragraph" w:styleId="Heading1">
    <w:name w:val="heading 1"/>
    <w:basedOn w:val="Normal"/>
    <w:link w:val="Heading1Char"/>
    <w:uiPriority w:val="9"/>
    <w:qFormat/>
    <w:rsid w:val="00FA1144"/>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2302"/>
    <w:rPr>
      <w:sz w:val="22"/>
      <w:szCs w:val="22"/>
      <w:lang w:bidi="ar-SA"/>
    </w:rPr>
  </w:style>
  <w:style w:type="character" w:customStyle="1" w:styleId="Heading1Char">
    <w:name w:val="Heading 1 Char"/>
    <w:basedOn w:val="DefaultParagraphFont"/>
    <w:link w:val="Heading1"/>
    <w:uiPriority w:val="9"/>
    <w:rsid w:val="00FA1144"/>
    <w:rPr>
      <w:rFonts w:ascii="Times New Roman" w:eastAsia="Times New Roman" w:hAnsi="Times New Roman" w:cs="Times New Roman"/>
      <w:b/>
      <w:bCs/>
      <w:kern w:val="36"/>
      <w:sz w:val="48"/>
      <w:szCs w:val="48"/>
      <w:lang w:bidi="he-IL"/>
    </w:rPr>
  </w:style>
  <w:style w:type="character" w:customStyle="1" w:styleId="apple-converted-space">
    <w:name w:val="apple-converted-space"/>
    <w:basedOn w:val="DefaultParagraphFont"/>
    <w:rsid w:val="00FA1144"/>
  </w:style>
  <w:style w:type="character" w:customStyle="1" w:styleId="h">
    <w:name w:val="h"/>
    <w:basedOn w:val="DefaultParagraphFont"/>
    <w:rsid w:val="00FA1144"/>
  </w:style>
  <w:style w:type="paragraph" w:styleId="NormalWeb">
    <w:name w:val="Normal (Web)"/>
    <w:basedOn w:val="Normal"/>
    <w:uiPriority w:val="99"/>
    <w:semiHidden/>
    <w:unhideWhenUsed/>
    <w:rsid w:val="00216F31"/>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Hyperlink">
    <w:name w:val="Hyperlink"/>
    <w:basedOn w:val="DefaultParagraphFont"/>
    <w:uiPriority w:val="99"/>
    <w:semiHidden/>
    <w:unhideWhenUsed/>
    <w:rsid w:val="00216F31"/>
    <w:rPr>
      <w:color w:val="0000FF"/>
      <w:u w:val="single"/>
    </w:rPr>
  </w:style>
  <w:style w:type="paragraph" w:styleId="Header">
    <w:name w:val="header"/>
    <w:basedOn w:val="Normal"/>
    <w:link w:val="HeaderChar"/>
    <w:uiPriority w:val="99"/>
    <w:semiHidden/>
    <w:unhideWhenUsed/>
    <w:rsid w:val="004953EC"/>
    <w:pPr>
      <w:tabs>
        <w:tab w:val="center" w:pos="4680"/>
        <w:tab w:val="right" w:pos="9360"/>
      </w:tabs>
    </w:pPr>
  </w:style>
  <w:style w:type="character" w:customStyle="1" w:styleId="HeaderChar">
    <w:name w:val="Header Char"/>
    <w:basedOn w:val="DefaultParagraphFont"/>
    <w:link w:val="Header"/>
    <w:uiPriority w:val="99"/>
    <w:semiHidden/>
    <w:rsid w:val="004953EC"/>
    <w:rPr>
      <w:sz w:val="22"/>
      <w:szCs w:val="22"/>
      <w:lang w:bidi="ar-SA"/>
    </w:rPr>
  </w:style>
  <w:style w:type="paragraph" w:styleId="Footer">
    <w:name w:val="footer"/>
    <w:basedOn w:val="Normal"/>
    <w:link w:val="FooterChar"/>
    <w:uiPriority w:val="99"/>
    <w:unhideWhenUsed/>
    <w:rsid w:val="004953EC"/>
    <w:pPr>
      <w:tabs>
        <w:tab w:val="center" w:pos="4680"/>
        <w:tab w:val="right" w:pos="9360"/>
      </w:tabs>
    </w:pPr>
  </w:style>
  <w:style w:type="character" w:customStyle="1" w:styleId="FooterChar">
    <w:name w:val="Footer Char"/>
    <w:basedOn w:val="DefaultParagraphFont"/>
    <w:link w:val="Footer"/>
    <w:uiPriority w:val="99"/>
    <w:rsid w:val="004953EC"/>
    <w:rPr>
      <w:sz w:val="22"/>
      <w:szCs w:val="22"/>
      <w:lang w:bidi="ar-SA"/>
    </w:rPr>
  </w:style>
  <w:style w:type="paragraph" w:styleId="FootnoteText">
    <w:name w:val="footnote text"/>
    <w:basedOn w:val="Normal"/>
    <w:link w:val="FootnoteTextChar"/>
    <w:uiPriority w:val="99"/>
    <w:semiHidden/>
    <w:unhideWhenUsed/>
    <w:rsid w:val="00015B95"/>
    <w:rPr>
      <w:sz w:val="20"/>
      <w:szCs w:val="20"/>
    </w:rPr>
  </w:style>
  <w:style w:type="character" w:customStyle="1" w:styleId="FootnoteTextChar">
    <w:name w:val="Footnote Text Char"/>
    <w:basedOn w:val="DefaultParagraphFont"/>
    <w:link w:val="FootnoteText"/>
    <w:uiPriority w:val="99"/>
    <w:semiHidden/>
    <w:rsid w:val="00015B95"/>
    <w:rPr>
      <w:lang w:bidi="ar-SA"/>
    </w:rPr>
  </w:style>
  <w:style w:type="character" w:styleId="FootnoteReference">
    <w:name w:val="footnote reference"/>
    <w:basedOn w:val="DefaultParagraphFont"/>
    <w:uiPriority w:val="99"/>
    <w:semiHidden/>
    <w:unhideWhenUsed/>
    <w:rsid w:val="00015B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079642">
      <w:bodyDiv w:val="1"/>
      <w:marLeft w:val="0"/>
      <w:marRight w:val="0"/>
      <w:marTop w:val="0"/>
      <w:marBottom w:val="0"/>
      <w:divBdr>
        <w:top w:val="none" w:sz="0" w:space="0" w:color="auto"/>
        <w:left w:val="none" w:sz="0" w:space="0" w:color="auto"/>
        <w:bottom w:val="none" w:sz="0" w:space="0" w:color="auto"/>
        <w:right w:val="none" w:sz="0" w:space="0" w:color="auto"/>
      </w:divBdr>
    </w:div>
    <w:div w:id="665715392">
      <w:bodyDiv w:val="1"/>
      <w:marLeft w:val="0"/>
      <w:marRight w:val="0"/>
      <w:marTop w:val="0"/>
      <w:marBottom w:val="0"/>
      <w:divBdr>
        <w:top w:val="none" w:sz="0" w:space="0" w:color="auto"/>
        <w:left w:val="none" w:sz="0" w:space="0" w:color="auto"/>
        <w:bottom w:val="none" w:sz="0" w:space="0" w:color="auto"/>
        <w:right w:val="none" w:sz="0" w:space="0" w:color="auto"/>
      </w:divBdr>
    </w:div>
    <w:div w:id="898830039">
      <w:bodyDiv w:val="1"/>
      <w:marLeft w:val="0"/>
      <w:marRight w:val="0"/>
      <w:marTop w:val="0"/>
      <w:marBottom w:val="0"/>
      <w:divBdr>
        <w:top w:val="none" w:sz="0" w:space="0" w:color="auto"/>
        <w:left w:val="none" w:sz="0" w:space="0" w:color="auto"/>
        <w:bottom w:val="none" w:sz="0" w:space="0" w:color="auto"/>
        <w:right w:val="none" w:sz="0" w:space="0" w:color="auto"/>
      </w:divBdr>
    </w:div>
    <w:div w:id="1046954551">
      <w:bodyDiv w:val="1"/>
      <w:marLeft w:val="0"/>
      <w:marRight w:val="0"/>
      <w:marTop w:val="0"/>
      <w:marBottom w:val="0"/>
      <w:divBdr>
        <w:top w:val="none" w:sz="0" w:space="0" w:color="auto"/>
        <w:left w:val="none" w:sz="0" w:space="0" w:color="auto"/>
        <w:bottom w:val="none" w:sz="0" w:space="0" w:color="auto"/>
        <w:right w:val="none" w:sz="0" w:space="0" w:color="auto"/>
      </w:divBdr>
    </w:div>
    <w:div w:id="1355613450">
      <w:bodyDiv w:val="1"/>
      <w:marLeft w:val="0"/>
      <w:marRight w:val="0"/>
      <w:marTop w:val="0"/>
      <w:marBottom w:val="0"/>
      <w:divBdr>
        <w:top w:val="none" w:sz="0" w:space="0" w:color="auto"/>
        <w:left w:val="none" w:sz="0" w:space="0" w:color="auto"/>
        <w:bottom w:val="none" w:sz="0" w:space="0" w:color="auto"/>
        <w:right w:val="none" w:sz="0" w:space="0" w:color="auto"/>
      </w:divBdr>
    </w:div>
    <w:div w:id="1399791331">
      <w:bodyDiv w:val="1"/>
      <w:marLeft w:val="0"/>
      <w:marRight w:val="0"/>
      <w:marTop w:val="0"/>
      <w:marBottom w:val="0"/>
      <w:divBdr>
        <w:top w:val="none" w:sz="0" w:space="0" w:color="auto"/>
        <w:left w:val="none" w:sz="0" w:space="0" w:color="auto"/>
        <w:bottom w:val="none" w:sz="0" w:space="0" w:color="auto"/>
        <w:right w:val="none" w:sz="0" w:space="0" w:color="auto"/>
      </w:divBdr>
    </w:div>
    <w:div w:id="1554736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BF72B8-43B7-4CF9-8DFF-0177B8E98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TotalTime>
  <Pages>5</Pages>
  <Words>732</Words>
  <Characters>4177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dc:creator>
  <cp:lastModifiedBy>Rabbi Jericho JC</cp:lastModifiedBy>
  <cp:revision>9</cp:revision>
  <dcterms:created xsi:type="dcterms:W3CDTF">2015-10-27T21:54:00Z</dcterms:created>
  <dcterms:modified xsi:type="dcterms:W3CDTF">2016-04-25T13:33:00Z</dcterms:modified>
</cp:coreProperties>
</file>