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6FC" w:rsidRDefault="00B90962" w:rsidP="00B90962">
      <w:pPr>
        <w:jc w:val="center"/>
        <w:rPr>
          <w:rFonts w:asciiTheme="majorBidi" w:hAnsiTheme="majorBidi" w:cstheme="majorBidi"/>
          <w:sz w:val="72"/>
          <w:szCs w:val="72"/>
        </w:rPr>
      </w:pPr>
      <w:proofErr w:type="gramStart"/>
      <w:r>
        <w:rPr>
          <w:rFonts w:asciiTheme="majorBidi" w:hAnsiTheme="majorBidi" w:cstheme="majorBidi"/>
          <w:sz w:val="72"/>
          <w:szCs w:val="72"/>
        </w:rPr>
        <w:t>A Rebellious Son?</w:t>
      </w:r>
      <w:proofErr w:type="gramEnd"/>
    </w:p>
    <w:p w:rsidR="00B90962" w:rsidRDefault="00B90962" w:rsidP="00B90962">
      <w:pPr>
        <w:spacing w:line="480" w:lineRule="auto"/>
        <w:rPr>
          <w:rFonts w:asciiTheme="majorBidi" w:hAnsiTheme="majorBidi" w:cstheme="majorBidi"/>
          <w:sz w:val="32"/>
          <w:szCs w:val="32"/>
        </w:rPr>
      </w:pPr>
      <w:r>
        <w:rPr>
          <w:rFonts w:asciiTheme="majorBidi" w:hAnsiTheme="majorBidi" w:cstheme="majorBidi"/>
          <w:sz w:val="32"/>
          <w:szCs w:val="32"/>
        </w:rPr>
        <w:tab/>
      </w:r>
      <w:proofErr w:type="spellStart"/>
      <w:r>
        <w:rPr>
          <w:rFonts w:asciiTheme="majorBidi" w:hAnsiTheme="majorBidi" w:cstheme="majorBidi"/>
          <w:sz w:val="32"/>
          <w:szCs w:val="32"/>
        </w:rPr>
        <w:t>Parshat</w:t>
      </w:r>
      <w:proofErr w:type="spellEnd"/>
      <w:r>
        <w:rPr>
          <w:rFonts w:asciiTheme="majorBidi" w:hAnsiTheme="majorBidi" w:cstheme="majorBidi"/>
          <w:sz w:val="32"/>
          <w:szCs w:val="32"/>
        </w:rPr>
        <w:t xml:space="preserve"> Ki </w:t>
      </w:r>
      <w:proofErr w:type="spellStart"/>
      <w:r>
        <w:rPr>
          <w:rFonts w:asciiTheme="majorBidi" w:hAnsiTheme="majorBidi" w:cstheme="majorBidi"/>
          <w:sz w:val="32"/>
          <w:szCs w:val="32"/>
        </w:rPr>
        <w:t>Tetze</w:t>
      </w:r>
      <w:proofErr w:type="spellEnd"/>
      <w:r>
        <w:rPr>
          <w:rFonts w:asciiTheme="majorBidi" w:hAnsiTheme="majorBidi" w:cstheme="majorBidi"/>
          <w:sz w:val="32"/>
          <w:szCs w:val="32"/>
        </w:rPr>
        <w:t xml:space="preserve"> contains more </w:t>
      </w:r>
      <w:r>
        <w:rPr>
          <w:rFonts w:asciiTheme="majorBidi" w:hAnsiTheme="majorBidi" w:cstheme="majorBidi"/>
          <w:i/>
          <w:iCs/>
          <w:sz w:val="32"/>
          <w:szCs w:val="32"/>
        </w:rPr>
        <w:t xml:space="preserve">mitzvoth </w:t>
      </w:r>
      <w:r>
        <w:rPr>
          <w:rFonts w:asciiTheme="majorBidi" w:hAnsiTheme="majorBidi" w:cstheme="majorBidi"/>
          <w:sz w:val="32"/>
          <w:szCs w:val="32"/>
        </w:rPr>
        <w:t>(commandments) than any other Torah portion, 72 out of the 613! Some of the commandments are very humanitarian, such as shooing away the mother bird before taking her eggs or making a parapet for your roof so that those who would be sleeping on the roof would not fall off. Others seem less so, such as how to treat a captive girl that you want to take as a wife. Today I want to talk about one of those commandments that might give us “cause for pause”: the rebellious son.</w:t>
      </w:r>
    </w:p>
    <w:p w:rsidR="00A97ED8" w:rsidRDefault="00B90962" w:rsidP="00A97ED8">
      <w:pPr>
        <w:spacing w:line="480" w:lineRule="auto"/>
        <w:rPr>
          <w:rFonts w:asciiTheme="majorBidi" w:hAnsiTheme="majorBidi" w:cstheme="majorBidi"/>
          <w:sz w:val="32"/>
          <w:szCs w:val="32"/>
        </w:rPr>
      </w:pPr>
      <w:r>
        <w:rPr>
          <w:rFonts w:asciiTheme="majorBidi" w:hAnsiTheme="majorBidi" w:cstheme="majorBidi"/>
          <w:sz w:val="32"/>
          <w:szCs w:val="32"/>
        </w:rPr>
        <w:tab/>
        <w:t xml:space="preserve">Deuteronomy 21:18 sends a very strong message: it equates rebelliousness with not listening to either one’s father or one’s mother. </w:t>
      </w:r>
      <w:r w:rsidRPr="00B90962">
        <w:rPr>
          <w:rFonts w:asciiTheme="majorBidi" w:hAnsiTheme="majorBidi" w:cstheme="majorBidi"/>
          <w:b/>
          <w:bCs/>
          <w:sz w:val="32"/>
          <w:szCs w:val="32"/>
        </w:rPr>
        <w:t>How many parents have children who did not listen to you at one point or another?</w:t>
      </w:r>
      <w:r>
        <w:rPr>
          <w:rFonts w:asciiTheme="majorBidi" w:hAnsiTheme="majorBidi" w:cstheme="majorBidi"/>
          <w:sz w:val="32"/>
          <w:szCs w:val="32"/>
        </w:rPr>
        <w:t xml:space="preserve"> According to the </w:t>
      </w:r>
      <w:proofErr w:type="spellStart"/>
      <w:r>
        <w:rPr>
          <w:rFonts w:asciiTheme="majorBidi" w:hAnsiTheme="majorBidi" w:cstheme="majorBidi"/>
          <w:sz w:val="32"/>
          <w:szCs w:val="32"/>
        </w:rPr>
        <w:t>pshat</w:t>
      </w:r>
      <w:proofErr w:type="spellEnd"/>
      <w:r>
        <w:rPr>
          <w:rFonts w:asciiTheme="majorBidi" w:hAnsiTheme="majorBidi" w:cstheme="majorBidi"/>
          <w:sz w:val="32"/>
          <w:szCs w:val="32"/>
        </w:rPr>
        <w:t xml:space="preserve"> of this text, that could enable you to bring the child to the elders of the town for stoning!</w:t>
      </w:r>
    </w:p>
    <w:p w:rsidR="00A97ED8" w:rsidRDefault="00A97ED8" w:rsidP="00A97ED8">
      <w:pPr>
        <w:spacing w:line="480" w:lineRule="auto"/>
        <w:rPr>
          <w:rFonts w:asciiTheme="majorBidi" w:hAnsiTheme="majorBidi" w:cstheme="majorBidi"/>
          <w:sz w:val="32"/>
          <w:szCs w:val="32"/>
        </w:rPr>
      </w:pPr>
      <w:r>
        <w:rPr>
          <w:rFonts w:asciiTheme="majorBidi" w:hAnsiTheme="majorBidi" w:cstheme="majorBidi"/>
          <w:sz w:val="32"/>
          <w:szCs w:val="32"/>
        </w:rPr>
        <w:tab/>
        <w:t xml:space="preserve">Deuteronomy 21:20 seems to shed some more light on the situation: The parents, in bringing their son to the elders, not only say that the son did not listen to their voice but add in that he is a glutton and </w:t>
      </w:r>
      <w:r>
        <w:rPr>
          <w:rFonts w:asciiTheme="majorBidi" w:hAnsiTheme="majorBidi" w:cstheme="majorBidi"/>
          <w:sz w:val="32"/>
          <w:szCs w:val="32"/>
        </w:rPr>
        <w:lastRenderedPageBreak/>
        <w:t xml:space="preserve">a drunkard! The rabbis take these words and apply them to all rebellious son situations: not only does the son not listen but he also must be a glutton and drunkard. Furthermore, they define glutton and drunkard (in Mishnah Sanhedrin 8:2) as one who eats a </w:t>
      </w:r>
      <w:proofErr w:type="spellStart"/>
      <w:r>
        <w:rPr>
          <w:rFonts w:asciiTheme="majorBidi" w:hAnsiTheme="majorBidi" w:cstheme="majorBidi"/>
          <w:i/>
          <w:iCs/>
          <w:sz w:val="32"/>
          <w:szCs w:val="32"/>
        </w:rPr>
        <w:t>maneh</w:t>
      </w:r>
      <w:proofErr w:type="spellEnd"/>
      <w:r>
        <w:rPr>
          <w:rFonts w:asciiTheme="majorBidi" w:hAnsiTheme="majorBidi" w:cstheme="majorBidi"/>
          <w:sz w:val="32"/>
          <w:szCs w:val="32"/>
        </w:rPr>
        <w:t xml:space="preserve"> of meat and drinks a </w:t>
      </w:r>
      <w:r>
        <w:rPr>
          <w:rFonts w:asciiTheme="majorBidi" w:hAnsiTheme="majorBidi" w:cstheme="majorBidi"/>
          <w:i/>
          <w:iCs/>
          <w:sz w:val="32"/>
          <w:szCs w:val="32"/>
        </w:rPr>
        <w:t>log</w:t>
      </w:r>
      <w:r>
        <w:rPr>
          <w:rFonts w:asciiTheme="majorBidi" w:hAnsiTheme="majorBidi" w:cstheme="majorBidi"/>
          <w:sz w:val="32"/>
          <w:szCs w:val="32"/>
        </w:rPr>
        <w:t xml:space="preserve"> of wine, literally ___________! The requirements get even stricter in the next Mishnah, as the son must steal food and wine from both his father and mother</w:t>
      </w:r>
      <w:r w:rsidR="0008522F">
        <w:rPr>
          <w:rFonts w:asciiTheme="majorBidi" w:hAnsiTheme="majorBidi" w:cstheme="majorBidi"/>
          <w:sz w:val="32"/>
          <w:szCs w:val="32"/>
        </w:rPr>
        <w:t xml:space="preserve"> and that he did not eat and drink at a </w:t>
      </w:r>
      <w:proofErr w:type="spellStart"/>
      <w:r w:rsidR="0008522F">
        <w:rPr>
          <w:rFonts w:asciiTheme="majorBidi" w:hAnsiTheme="majorBidi" w:cstheme="majorBidi"/>
          <w:sz w:val="32"/>
          <w:szCs w:val="32"/>
        </w:rPr>
        <w:t>simcha</w:t>
      </w:r>
      <w:proofErr w:type="spellEnd"/>
      <w:r>
        <w:rPr>
          <w:rFonts w:asciiTheme="majorBidi" w:hAnsiTheme="majorBidi" w:cstheme="majorBidi"/>
          <w:sz w:val="32"/>
          <w:szCs w:val="32"/>
        </w:rPr>
        <w:t>! In the next Mishnah, the consent of both parents are required to stone the son and both parents must have both their hands (because the verse says they need to “grab hold of him”,) cannot be lame (because they need to bring him out), cannot be mute (because they need to speak to the elders) and cannot be blind (because they say “he does not listen to our voice” and it is presumed that if they were blind they would not know if he fulfilled their words.) Furthermore, if the parents meet these criteria, the Mishnah goes on to say that he is not stoned until his second offense, provided the 3 elders who were there the first time are present again.</w:t>
      </w:r>
    </w:p>
    <w:p w:rsidR="00A97ED8" w:rsidRDefault="00A97ED8" w:rsidP="0008522F">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 xml:space="preserve">What is this all about? </w:t>
      </w:r>
      <w:r w:rsidR="0008522F">
        <w:rPr>
          <w:rFonts w:asciiTheme="majorBidi" w:hAnsiTheme="majorBidi" w:cstheme="majorBidi"/>
          <w:sz w:val="32"/>
          <w:szCs w:val="32"/>
        </w:rPr>
        <w:t xml:space="preserve">The Bible is explicit and the Mishnah is bringing in qualification after qualification, exemption after exemption. </w:t>
      </w:r>
      <w:r>
        <w:rPr>
          <w:rFonts w:asciiTheme="majorBidi" w:hAnsiTheme="majorBidi" w:cstheme="majorBidi"/>
          <w:sz w:val="32"/>
          <w:szCs w:val="32"/>
        </w:rPr>
        <w:t xml:space="preserve">If one sees </w:t>
      </w:r>
      <w:r w:rsidR="0008522F">
        <w:rPr>
          <w:rFonts w:asciiTheme="majorBidi" w:hAnsiTheme="majorBidi" w:cstheme="majorBidi"/>
          <w:sz w:val="32"/>
          <w:szCs w:val="32"/>
        </w:rPr>
        <w:t xml:space="preserve">the Mishnah as being given in concurrence with the Torah than one would see these restrictions as emanating directly from Sinai. At JTS, however, we studied the Mishnah independently from the Bible, and with that being the case, it appears that the rabbis of the Mishnah are trying to qualify the rebellious son out of existence. This point is further made in the </w:t>
      </w:r>
      <w:proofErr w:type="spellStart"/>
      <w:r w:rsidR="0008522F">
        <w:rPr>
          <w:rFonts w:asciiTheme="majorBidi" w:hAnsiTheme="majorBidi" w:cstheme="majorBidi"/>
          <w:sz w:val="32"/>
          <w:szCs w:val="32"/>
        </w:rPr>
        <w:t>Gemara</w:t>
      </w:r>
      <w:proofErr w:type="spellEnd"/>
      <w:r w:rsidR="0008522F">
        <w:rPr>
          <w:rFonts w:asciiTheme="majorBidi" w:hAnsiTheme="majorBidi" w:cstheme="majorBidi"/>
          <w:sz w:val="32"/>
          <w:szCs w:val="32"/>
        </w:rPr>
        <w:t xml:space="preserve"> (Sanhedrin 71a) where Rabbi Shimon says there never was and never will be a rebellious son: that this portion is written for us to expound upon it and receive reward.</w:t>
      </w:r>
    </w:p>
    <w:p w:rsidR="0008522F" w:rsidRDefault="0008522F" w:rsidP="0008522F">
      <w:pPr>
        <w:spacing w:line="480" w:lineRule="auto"/>
        <w:rPr>
          <w:rFonts w:asciiTheme="majorBidi" w:hAnsiTheme="majorBidi" w:cstheme="majorBidi"/>
          <w:sz w:val="32"/>
          <w:szCs w:val="32"/>
        </w:rPr>
      </w:pPr>
      <w:r>
        <w:rPr>
          <w:rFonts w:asciiTheme="majorBidi" w:hAnsiTheme="majorBidi" w:cstheme="majorBidi"/>
          <w:sz w:val="32"/>
          <w:szCs w:val="32"/>
        </w:rPr>
        <w:tab/>
        <w:t xml:space="preserve">Is that really the case? Can a section of the Torah, the Five Books of Moses, just be there for “window dressing?” The interpretation I learned is that the rebellious son being stoned was a real commandment in biblical times, and yet the rabbis were so uncomfortable with it that they tried (very creatively) to qualify it out of existence. What I like about this interpretation is that it demonstrates that Jewish law has always developed and changed with each generation. The laws were not </w:t>
      </w:r>
      <w:r>
        <w:rPr>
          <w:rFonts w:asciiTheme="majorBidi" w:hAnsiTheme="majorBidi" w:cstheme="majorBidi"/>
          <w:sz w:val="32"/>
          <w:szCs w:val="32"/>
        </w:rPr>
        <w:lastRenderedPageBreak/>
        <w:t>given at Sinai and then frozen into place but rather further developed with each successive generation.</w:t>
      </w:r>
    </w:p>
    <w:p w:rsidR="0008522F" w:rsidRDefault="0008522F" w:rsidP="0008522F">
      <w:pPr>
        <w:spacing w:line="480" w:lineRule="auto"/>
        <w:rPr>
          <w:rFonts w:asciiTheme="majorBidi" w:hAnsiTheme="majorBidi" w:cstheme="majorBidi"/>
          <w:sz w:val="32"/>
          <w:szCs w:val="32"/>
        </w:rPr>
      </w:pPr>
      <w:r>
        <w:rPr>
          <w:rFonts w:asciiTheme="majorBidi" w:hAnsiTheme="majorBidi" w:cstheme="majorBidi"/>
          <w:sz w:val="32"/>
          <w:szCs w:val="32"/>
        </w:rPr>
        <w:tab/>
        <w:t xml:space="preserve">A modern way of putting this is best said by </w:t>
      </w:r>
      <w:proofErr w:type="spellStart"/>
      <w:r>
        <w:rPr>
          <w:rFonts w:asciiTheme="majorBidi" w:hAnsiTheme="majorBidi" w:cstheme="majorBidi"/>
          <w:sz w:val="32"/>
          <w:szCs w:val="32"/>
        </w:rPr>
        <w:t>Blu</w:t>
      </w:r>
      <w:proofErr w:type="spellEnd"/>
      <w:r>
        <w:rPr>
          <w:rFonts w:asciiTheme="majorBidi" w:hAnsiTheme="majorBidi" w:cstheme="majorBidi"/>
          <w:sz w:val="32"/>
          <w:szCs w:val="32"/>
        </w:rPr>
        <w:t xml:space="preserve"> Greenberg, an Orthodox feminist: “Where there’s a rabbinic will there’s a </w:t>
      </w:r>
      <w:proofErr w:type="spellStart"/>
      <w:r>
        <w:rPr>
          <w:rFonts w:asciiTheme="majorBidi" w:hAnsiTheme="majorBidi" w:cstheme="majorBidi"/>
          <w:sz w:val="32"/>
          <w:szCs w:val="32"/>
        </w:rPr>
        <w:t>halachic</w:t>
      </w:r>
      <w:proofErr w:type="spellEnd"/>
      <w:r>
        <w:rPr>
          <w:rFonts w:asciiTheme="majorBidi" w:hAnsiTheme="majorBidi" w:cstheme="majorBidi"/>
          <w:sz w:val="32"/>
          <w:szCs w:val="32"/>
        </w:rPr>
        <w:t xml:space="preserve"> way.” For </w:t>
      </w:r>
      <w:proofErr w:type="spellStart"/>
      <w:r>
        <w:rPr>
          <w:rFonts w:asciiTheme="majorBidi" w:hAnsiTheme="majorBidi" w:cstheme="majorBidi"/>
          <w:sz w:val="32"/>
          <w:szCs w:val="32"/>
        </w:rPr>
        <w:t>Blu</w:t>
      </w:r>
      <w:proofErr w:type="spellEnd"/>
      <w:r>
        <w:rPr>
          <w:rFonts w:asciiTheme="majorBidi" w:hAnsiTheme="majorBidi" w:cstheme="majorBidi"/>
          <w:sz w:val="32"/>
          <w:szCs w:val="32"/>
        </w:rPr>
        <w:t xml:space="preserve">, to look at the sources and say something is outright impermissible when there are so many layers of commentary and interpretation is taking the easy way out. Another example of this comes from my teacher, Rabbi Joel Roth, who illustrated to us the difference between Conservative Judaism and Orthodoxy with the analogy of a chessboard. Rabbi Roth argued that for Orthodox Judaism the pieces of the chessboard moved until the codification of the </w:t>
      </w:r>
      <w:proofErr w:type="spellStart"/>
      <w:r>
        <w:rPr>
          <w:rFonts w:asciiTheme="majorBidi" w:hAnsiTheme="majorBidi" w:cstheme="majorBidi"/>
          <w:i/>
          <w:iCs/>
          <w:sz w:val="32"/>
          <w:szCs w:val="32"/>
        </w:rPr>
        <w:t>Shulchan</w:t>
      </w:r>
      <w:proofErr w:type="spellEnd"/>
      <w:r>
        <w:rPr>
          <w:rFonts w:asciiTheme="majorBidi" w:hAnsiTheme="majorBidi" w:cstheme="majorBidi"/>
          <w:i/>
          <w:iCs/>
          <w:sz w:val="32"/>
          <w:szCs w:val="32"/>
        </w:rPr>
        <w:t xml:space="preserve"> </w:t>
      </w:r>
      <w:proofErr w:type="spellStart"/>
      <w:r>
        <w:rPr>
          <w:rFonts w:asciiTheme="majorBidi" w:hAnsiTheme="majorBidi" w:cstheme="majorBidi"/>
          <w:i/>
          <w:iCs/>
          <w:sz w:val="32"/>
          <w:szCs w:val="32"/>
        </w:rPr>
        <w:t>Arukh</w:t>
      </w:r>
      <w:proofErr w:type="spellEnd"/>
      <w:r>
        <w:rPr>
          <w:rFonts w:asciiTheme="majorBidi" w:hAnsiTheme="majorBidi" w:cstheme="majorBidi"/>
          <w:sz w:val="32"/>
          <w:szCs w:val="32"/>
        </w:rPr>
        <w:t xml:space="preserve"> (the premier Code of Jewish Law in the 1500s) after which they froze. He said that for him and for Conservative Judaism, the pieces continue to move, that contemporary generations and those to come can continue to shape Jewish law.</w:t>
      </w:r>
    </w:p>
    <w:p w:rsidR="0008522F" w:rsidRPr="00DB5DD2" w:rsidRDefault="0008522F" w:rsidP="0008522F">
      <w:pPr>
        <w:spacing w:line="480" w:lineRule="auto"/>
        <w:rPr>
          <w:rFonts w:asciiTheme="majorBidi" w:hAnsiTheme="majorBidi" w:cstheme="majorBidi"/>
          <w:sz w:val="32"/>
          <w:szCs w:val="32"/>
        </w:rPr>
      </w:pPr>
      <w:r>
        <w:rPr>
          <w:rFonts w:asciiTheme="majorBidi" w:hAnsiTheme="majorBidi" w:cstheme="majorBidi"/>
          <w:sz w:val="32"/>
          <w:szCs w:val="32"/>
        </w:rPr>
        <w:tab/>
        <w:t xml:space="preserve">How far one chooses to go remains a question. Every rabbi (including myself) has limits as to how far I will go in changing current </w:t>
      </w:r>
      <w:r>
        <w:rPr>
          <w:rFonts w:asciiTheme="majorBidi" w:hAnsiTheme="majorBidi" w:cstheme="majorBidi"/>
          <w:sz w:val="32"/>
          <w:szCs w:val="32"/>
        </w:rPr>
        <w:lastRenderedPageBreak/>
        <w:t xml:space="preserve">practices and traditions. However, the example of the rebellious son demonstrates that there is precedent with making </w:t>
      </w:r>
      <w:r w:rsidR="00DB5DD2">
        <w:rPr>
          <w:rFonts w:asciiTheme="majorBidi" w:hAnsiTheme="majorBidi" w:cstheme="majorBidi"/>
          <w:sz w:val="32"/>
          <w:szCs w:val="32"/>
        </w:rPr>
        <w:t xml:space="preserve">changes. In this case a commandment was qualified out of existence; in other cases laws were changed </w:t>
      </w:r>
      <w:proofErr w:type="spellStart"/>
      <w:r w:rsidR="00DB5DD2">
        <w:rPr>
          <w:rFonts w:asciiTheme="majorBidi" w:hAnsiTheme="majorBidi" w:cstheme="majorBidi"/>
          <w:i/>
          <w:iCs/>
          <w:sz w:val="32"/>
          <w:szCs w:val="32"/>
        </w:rPr>
        <w:t>mipnei</w:t>
      </w:r>
      <w:proofErr w:type="spellEnd"/>
      <w:r w:rsidR="00DB5DD2">
        <w:rPr>
          <w:rFonts w:asciiTheme="majorBidi" w:hAnsiTheme="majorBidi" w:cstheme="majorBidi"/>
          <w:i/>
          <w:iCs/>
          <w:sz w:val="32"/>
          <w:szCs w:val="32"/>
        </w:rPr>
        <w:t xml:space="preserve"> </w:t>
      </w:r>
      <w:proofErr w:type="spellStart"/>
      <w:r w:rsidR="00DB5DD2">
        <w:rPr>
          <w:rFonts w:asciiTheme="majorBidi" w:hAnsiTheme="majorBidi" w:cstheme="majorBidi"/>
          <w:i/>
          <w:iCs/>
          <w:sz w:val="32"/>
          <w:szCs w:val="32"/>
        </w:rPr>
        <w:t>tikkun</w:t>
      </w:r>
      <w:proofErr w:type="spellEnd"/>
      <w:r w:rsidR="00DB5DD2">
        <w:rPr>
          <w:rFonts w:asciiTheme="majorBidi" w:hAnsiTheme="majorBidi" w:cstheme="majorBidi"/>
          <w:i/>
          <w:iCs/>
          <w:sz w:val="32"/>
          <w:szCs w:val="32"/>
        </w:rPr>
        <w:t xml:space="preserve"> </w:t>
      </w:r>
      <w:proofErr w:type="spellStart"/>
      <w:r w:rsidR="00DB5DD2">
        <w:rPr>
          <w:rFonts w:asciiTheme="majorBidi" w:hAnsiTheme="majorBidi" w:cstheme="majorBidi"/>
          <w:i/>
          <w:iCs/>
          <w:sz w:val="32"/>
          <w:szCs w:val="32"/>
        </w:rPr>
        <w:t>olam</w:t>
      </w:r>
      <w:proofErr w:type="spellEnd"/>
      <w:r w:rsidR="00DB5DD2">
        <w:rPr>
          <w:rFonts w:asciiTheme="majorBidi" w:hAnsiTheme="majorBidi" w:cstheme="majorBidi"/>
          <w:sz w:val="32"/>
          <w:szCs w:val="32"/>
        </w:rPr>
        <w:t xml:space="preserve">, for the sake of improving the world, or </w:t>
      </w:r>
      <w:proofErr w:type="spellStart"/>
      <w:r w:rsidR="00DB5DD2">
        <w:rPr>
          <w:rFonts w:asciiTheme="majorBidi" w:hAnsiTheme="majorBidi" w:cstheme="majorBidi"/>
          <w:i/>
          <w:iCs/>
          <w:sz w:val="32"/>
          <w:szCs w:val="32"/>
        </w:rPr>
        <w:t>mipnei</w:t>
      </w:r>
      <w:proofErr w:type="spellEnd"/>
      <w:r w:rsidR="00DB5DD2">
        <w:rPr>
          <w:rFonts w:asciiTheme="majorBidi" w:hAnsiTheme="majorBidi" w:cstheme="majorBidi"/>
          <w:i/>
          <w:iCs/>
          <w:sz w:val="32"/>
          <w:szCs w:val="32"/>
        </w:rPr>
        <w:t xml:space="preserve"> </w:t>
      </w:r>
      <w:proofErr w:type="spellStart"/>
      <w:r w:rsidR="00DB5DD2">
        <w:rPr>
          <w:rFonts w:asciiTheme="majorBidi" w:hAnsiTheme="majorBidi" w:cstheme="majorBidi"/>
          <w:i/>
          <w:iCs/>
          <w:sz w:val="32"/>
          <w:szCs w:val="32"/>
        </w:rPr>
        <w:t>shaat</w:t>
      </w:r>
      <w:proofErr w:type="spellEnd"/>
      <w:r w:rsidR="00DB5DD2">
        <w:rPr>
          <w:rFonts w:asciiTheme="majorBidi" w:hAnsiTheme="majorBidi" w:cstheme="majorBidi"/>
          <w:i/>
          <w:iCs/>
          <w:sz w:val="32"/>
          <w:szCs w:val="32"/>
        </w:rPr>
        <w:t xml:space="preserve"> </w:t>
      </w:r>
      <w:proofErr w:type="spellStart"/>
      <w:r w:rsidR="00DB5DD2">
        <w:rPr>
          <w:rFonts w:asciiTheme="majorBidi" w:hAnsiTheme="majorBidi" w:cstheme="majorBidi"/>
          <w:i/>
          <w:iCs/>
          <w:sz w:val="32"/>
          <w:szCs w:val="32"/>
        </w:rPr>
        <w:t>hadahak</w:t>
      </w:r>
      <w:proofErr w:type="spellEnd"/>
      <w:r w:rsidR="00DB5DD2">
        <w:rPr>
          <w:rFonts w:asciiTheme="majorBidi" w:hAnsiTheme="majorBidi" w:cstheme="majorBidi"/>
          <w:sz w:val="32"/>
          <w:szCs w:val="32"/>
        </w:rPr>
        <w:t xml:space="preserve">, because of the pressing needs of the moment. May we recognize that like American law, Jewish law does not get frozen in time but continues to develop, with one eye looking towards the words of our great sages of the past and the other eye looking towards our contemporary and future </w:t>
      </w:r>
      <w:proofErr w:type="gramStart"/>
      <w:r w:rsidR="00DB5DD2">
        <w:rPr>
          <w:rFonts w:asciiTheme="majorBidi" w:hAnsiTheme="majorBidi" w:cstheme="majorBidi"/>
          <w:sz w:val="32"/>
          <w:szCs w:val="32"/>
        </w:rPr>
        <w:t>needs.</w:t>
      </w:r>
      <w:bookmarkStart w:id="0" w:name="_GoBack"/>
      <w:bookmarkEnd w:id="0"/>
      <w:proofErr w:type="gramEnd"/>
    </w:p>
    <w:sectPr w:rsidR="0008522F" w:rsidRPr="00DB5D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962"/>
    <w:rsid w:val="0008522F"/>
    <w:rsid w:val="00A97ED8"/>
    <w:rsid w:val="00B90962"/>
    <w:rsid w:val="00C376FC"/>
    <w:rsid w:val="00DB5DD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5</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Ben Herman</cp:lastModifiedBy>
  <cp:revision>1</cp:revision>
  <dcterms:created xsi:type="dcterms:W3CDTF">2014-08-24T12:20:00Z</dcterms:created>
  <dcterms:modified xsi:type="dcterms:W3CDTF">2014-08-24T12:57:00Z</dcterms:modified>
</cp:coreProperties>
</file>