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11554" w:rsidRDefault="00005C0C" w:rsidP="00005C0C">
      <w:pPr>
        <w:jc w:val="center"/>
        <w:rPr>
          <w:rFonts w:asciiTheme="majorBidi" w:hAnsiTheme="majorBidi" w:cstheme="majorBidi"/>
          <w:sz w:val="72"/>
          <w:szCs w:val="72"/>
        </w:rPr>
      </w:pPr>
      <w:r w:rsidRPr="00005C0C">
        <w:rPr>
          <w:rFonts w:asciiTheme="majorBidi" w:hAnsiTheme="majorBidi" w:cstheme="majorBidi"/>
          <w:sz w:val="72"/>
          <w:szCs w:val="72"/>
        </w:rPr>
        <w:t>The Ten Commandments</w:t>
      </w:r>
      <w:r w:rsidR="00E3774E">
        <w:rPr>
          <w:rFonts w:asciiTheme="majorBidi" w:hAnsiTheme="majorBidi" w:cstheme="majorBidi"/>
          <w:sz w:val="72"/>
          <w:szCs w:val="72"/>
        </w:rPr>
        <w:t xml:space="preserve"> Part II</w:t>
      </w:r>
      <w:bookmarkStart w:id="0" w:name="_GoBack"/>
      <w:bookmarkEnd w:id="0"/>
    </w:p>
    <w:p w:rsidR="00005C0C" w:rsidRDefault="00E3774E" w:rsidP="00E3774E">
      <w:pPr>
        <w:spacing w:line="480" w:lineRule="auto"/>
        <w:rPr>
          <w:rFonts w:asciiTheme="majorBidi" w:hAnsiTheme="majorBidi" w:cstheme="majorBidi"/>
          <w:sz w:val="32"/>
          <w:szCs w:val="32"/>
        </w:rPr>
      </w:pPr>
      <w:r>
        <w:rPr>
          <w:rFonts w:asciiTheme="majorBidi" w:hAnsiTheme="majorBidi" w:cstheme="majorBidi"/>
          <w:sz w:val="32"/>
          <w:szCs w:val="32"/>
        </w:rPr>
        <w:tab/>
        <w:t xml:space="preserve">Once again we find ourselves </w:t>
      </w:r>
      <w:r w:rsidR="00005C0C">
        <w:rPr>
          <w:rFonts w:asciiTheme="majorBidi" w:hAnsiTheme="majorBidi" w:cstheme="majorBidi"/>
          <w:sz w:val="32"/>
          <w:szCs w:val="32"/>
        </w:rPr>
        <w:t xml:space="preserve">reading the Ten Commandments this Shabbat. Deuteronomy means </w:t>
      </w:r>
      <w:r w:rsidR="00005C0C">
        <w:rPr>
          <w:rFonts w:asciiTheme="majorBidi" w:hAnsiTheme="majorBidi" w:cstheme="majorBidi"/>
          <w:i/>
          <w:iCs/>
          <w:sz w:val="32"/>
          <w:szCs w:val="32"/>
        </w:rPr>
        <w:t>deutero nomos</w:t>
      </w:r>
      <w:r w:rsidR="00005C0C">
        <w:rPr>
          <w:rFonts w:asciiTheme="majorBidi" w:hAnsiTheme="majorBidi" w:cstheme="majorBidi"/>
          <w:sz w:val="32"/>
          <w:szCs w:val="32"/>
        </w:rPr>
        <w:t>, or second word, and it is often a repetition of what came before. However, there are some key differences between this version</w:t>
      </w:r>
      <w:r>
        <w:rPr>
          <w:rFonts w:asciiTheme="majorBidi" w:hAnsiTheme="majorBidi" w:cstheme="majorBidi"/>
          <w:sz w:val="32"/>
          <w:szCs w:val="32"/>
        </w:rPr>
        <w:t xml:space="preserve"> of the Ten Commandments</w:t>
      </w:r>
      <w:r w:rsidR="00005C0C">
        <w:rPr>
          <w:rFonts w:asciiTheme="majorBidi" w:hAnsiTheme="majorBidi" w:cstheme="majorBidi"/>
          <w:sz w:val="32"/>
          <w:szCs w:val="32"/>
        </w:rPr>
        <w:t xml:space="preserve"> and the one we have in Exodus, and I’d like us to look at why they are different. In Deuteronomy Moses says he will serve as the people’s intermediary because they were afraid and would not go up to the mountain an account of the great fire.</w:t>
      </w:r>
      <w:r w:rsidR="00005C0C">
        <w:rPr>
          <w:rStyle w:val="FootnoteReference"/>
          <w:rFonts w:asciiTheme="majorBidi" w:hAnsiTheme="majorBidi" w:cstheme="majorBidi"/>
          <w:sz w:val="32"/>
          <w:szCs w:val="32"/>
        </w:rPr>
        <w:footnoteReference w:id="1"/>
      </w:r>
      <w:r w:rsidR="00005C0C">
        <w:rPr>
          <w:rFonts w:asciiTheme="majorBidi" w:hAnsiTheme="majorBidi" w:cstheme="majorBidi"/>
          <w:sz w:val="32"/>
          <w:szCs w:val="32"/>
        </w:rPr>
        <w:t xml:space="preserve"> </w:t>
      </w:r>
      <w:r>
        <w:rPr>
          <w:rFonts w:asciiTheme="majorBidi" w:hAnsiTheme="majorBidi" w:cstheme="majorBidi"/>
          <w:sz w:val="32"/>
          <w:szCs w:val="32"/>
        </w:rPr>
        <w:t>We do have a parallel to this in Exodus, where the Israelites tell Moses, “You speak to us and we will obey; but let not G-d speak to us, lest we die.”</w:t>
      </w:r>
      <w:r>
        <w:rPr>
          <w:rStyle w:val="FootnoteReference"/>
          <w:rFonts w:asciiTheme="majorBidi" w:hAnsiTheme="majorBidi" w:cstheme="majorBidi"/>
          <w:sz w:val="32"/>
          <w:szCs w:val="32"/>
        </w:rPr>
        <w:footnoteReference w:id="2"/>
      </w:r>
      <w:r>
        <w:rPr>
          <w:rFonts w:asciiTheme="majorBidi" w:hAnsiTheme="majorBidi" w:cstheme="majorBidi"/>
          <w:sz w:val="32"/>
          <w:szCs w:val="32"/>
        </w:rPr>
        <w:t xml:space="preserve"> However, prior to that Moses says to G-d </w:t>
      </w:r>
      <w:r>
        <w:rPr>
          <w:rFonts w:asciiTheme="majorBidi" w:hAnsiTheme="majorBidi" w:cstheme="majorBidi"/>
          <w:sz w:val="32"/>
          <w:szCs w:val="32"/>
        </w:rPr>
        <w:br/>
        <w:t>“The people cannot come up to Sinai, for You warned us, saying ‘put boundaries around the mountain and sanctify it.”</w:t>
      </w:r>
      <w:r w:rsidR="00005C0C">
        <w:rPr>
          <w:rStyle w:val="FootnoteReference"/>
          <w:rFonts w:asciiTheme="majorBidi" w:hAnsiTheme="majorBidi" w:cstheme="majorBidi"/>
          <w:sz w:val="32"/>
          <w:szCs w:val="32"/>
        </w:rPr>
        <w:footnoteReference w:id="3"/>
      </w:r>
      <w:r w:rsidR="00005C0C">
        <w:rPr>
          <w:rFonts w:asciiTheme="majorBidi" w:hAnsiTheme="majorBidi" w:cstheme="majorBidi"/>
          <w:sz w:val="32"/>
          <w:szCs w:val="32"/>
        </w:rPr>
        <w:t xml:space="preserve"> Why would Moses say </w:t>
      </w:r>
      <w:r>
        <w:rPr>
          <w:rFonts w:asciiTheme="majorBidi" w:hAnsiTheme="majorBidi" w:cstheme="majorBidi"/>
          <w:sz w:val="32"/>
          <w:szCs w:val="32"/>
        </w:rPr>
        <w:t xml:space="preserve">in Deuteronomy </w:t>
      </w:r>
      <w:r w:rsidR="00005C0C">
        <w:rPr>
          <w:rFonts w:asciiTheme="majorBidi" w:hAnsiTheme="majorBidi" w:cstheme="majorBidi"/>
          <w:sz w:val="32"/>
          <w:szCs w:val="32"/>
        </w:rPr>
        <w:t xml:space="preserve">that the Israelites had an option to </w:t>
      </w:r>
      <w:r>
        <w:rPr>
          <w:rFonts w:asciiTheme="majorBidi" w:hAnsiTheme="majorBidi" w:cstheme="majorBidi"/>
          <w:sz w:val="32"/>
          <w:szCs w:val="32"/>
        </w:rPr>
        <w:t xml:space="preserve">ascend and chose not to when in Exodus he asserts that </w:t>
      </w:r>
      <w:r w:rsidR="00005C0C">
        <w:rPr>
          <w:rFonts w:asciiTheme="majorBidi" w:hAnsiTheme="majorBidi" w:cstheme="majorBidi"/>
          <w:sz w:val="32"/>
          <w:szCs w:val="32"/>
        </w:rPr>
        <w:t>G-d forbade them from ascending?</w:t>
      </w:r>
    </w:p>
    <w:p w:rsidR="00005C0C" w:rsidRDefault="00005C0C" w:rsidP="00E3774E">
      <w:pPr>
        <w:spacing w:line="480" w:lineRule="auto"/>
        <w:ind w:firstLine="720"/>
        <w:rPr>
          <w:rFonts w:asciiTheme="majorBidi" w:hAnsiTheme="majorBidi" w:cstheme="majorBidi"/>
          <w:sz w:val="32"/>
          <w:szCs w:val="32"/>
          <w:lang w:bidi="he-IL"/>
        </w:rPr>
      </w:pPr>
      <w:r>
        <w:rPr>
          <w:rFonts w:asciiTheme="majorBidi" w:hAnsiTheme="majorBidi" w:cstheme="majorBidi"/>
          <w:sz w:val="32"/>
          <w:szCs w:val="32"/>
        </w:rPr>
        <w:lastRenderedPageBreak/>
        <w:t>Perhaps an</w:t>
      </w:r>
      <w:r w:rsidR="00E3774E">
        <w:rPr>
          <w:rFonts w:asciiTheme="majorBidi" w:hAnsiTheme="majorBidi" w:cstheme="majorBidi"/>
          <w:sz w:val="32"/>
          <w:szCs w:val="32"/>
        </w:rPr>
        <w:t>other</w:t>
      </w:r>
      <w:r>
        <w:rPr>
          <w:rFonts w:asciiTheme="majorBidi" w:hAnsiTheme="majorBidi" w:cstheme="majorBidi"/>
          <w:sz w:val="32"/>
          <w:szCs w:val="32"/>
        </w:rPr>
        <w:t xml:space="preserve"> difference between the texts will shed light on this. In Exodus G-d is proclaiming the words, whereas in Deuteronomy it is Moses. According to Midrash, the people heard the first commandment from G-d and could not take it-their souls departed from them. After the angels revived them, G-d said the second commandment, and the Israelites’ souls departed again. Finally they pleaded with Moses to say the rest of the commandments, and he did so. This is one source for the 613 commandments, for the gematria of the word </w:t>
      </w:r>
      <w:r>
        <w:rPr>
          <w:rFonts w:asciiTheme="majorBidi" w:hAnsiTheme="majorBidi" w:cstheme="majorBidi" w:hint="cs"/>
          <w:sz w:val="32"/>
          <w:szCs w:val="32"/>
          <w:rtl/>
          <w:lang w:bidi="he-IL"/>
        </w:rPr>
        <w:t>תורה</w:t>
      </w:r>
      <w:r>
        <w:rPr>
          <w:rFonts w:asciiTheme="majorBidi" w:hAnsiTheme="majorBidi" w:cstheme="majorBidi"/>
          <w:sz w:val="32"/>
          <w:szCs w:val="32"/>
          <w:lang w:bidi="he-IL"/>
        </w:rPr>
        <w:t xml:space="preserve"> is 611, corresponding to the 611 commandments that Moses taugh</w:t>
      </w:r>
      <w:r w:rsidR="00E3774E">
        <w:rPr>
          <w:rFonts w:asciiTheme="majorBidi" w:hAnsiTheme="majorBidi" w:cstheme="majorBidi"/>
          <w:sz w:val="32"/>
          <w:szCs w:val="32"/>
          <w:lang w:bidi="he-IL"/>
        </w:rPr>
        <w:t>t them, whereas the additional 2</w:t>
      </w:r>
      <w:r>
        <w:rPr>
          <w:rFonts w:asciiTheme="majorBidi" w:hAnsiTheme="majorBidi" w:cstheme="majorBidi"/>
          <w:sz w:val="32"/>
          <w:szCs w:val="32"/>
          <w:lang w:bidi="he-IL"/>
        </w:rPr>
        <w:t xml:space="preserve"> correspond</w:t>
      </w:r>
      <w:r w:rsidR="00E3774E">
        <w:rPr>
          <w:rFonts w:asciiTheme="majorBidi" w:hAnsiTheme="majorBidi" w:cstheme="majorBidi"/>
          <w:sz w:val="32"/>
          <w:szCs w:val="32"/>
          <w:lang w:bidi="he-IL"/>
        </w:rPr>
        <w:t>s</w:t>
      </w:r>
      <w:r>
        <w:rPr>
          <w:rFonts w:asciiTheme="majorBidi" w:hAnsiTheme="majorBidi" w:cstheme="majorBidi"/>
          <w:sz w:val="32"/>
          <w:szCs w:val="32"/>
          <w:lang w:bidi="he-IL"/>
        </w:rPr>
        <w:t xml:space="preserve"> to the commandments they heard directly from G-d.</w:t>
      </w:r>
      <w:r>
        <w:rPr>
          <w:rStyle w:val="FootnoteReference"/>
          <w:rFonts w:asciiTheme="majorBidi" w:hAnsiTheme="majorBidi" w:cstheme="majorBidi"/>
          <w:sz w:val="32"/>
          <w:szCs w:val="32"/>
          <w:lang w:bidi="he-IL"/>
        </w:rPr>
        <w:footnoteReference w:id="4"/>
      </w:r>
    </w:p>
    <w:p w:rsidR="00005C0C" w:rsidRDefault="00005C0C" w:rsidP="00E3774E">
      <w:pPr>
        <w:spacing w:line="480" w:lineRule="auto"/>
        <w:rPr>
          <w:rFonts w:asciiTheme="majorBidi" w:hAnsiTheme="majorBidi" w:cstheme="majorBidi"/>
          <w:sz w:val="32"/>
          <w:szCs w:val="32"/>
          <w:lang w:bidi="he-IL"/>
        </w:rPr>
      </w:pPr>
      <w:r>
        <w:rPr>
          <w:rFonts w:asciiTheme="majorBidi" w:hAnsiTheme="majorBidi" w:cstheme="majorBidi"/>
          <w:sz w:val="32"/>
          <w:szCs w:val="32"/>
          <w:lang w:bidi="he-IL"/>
        </w:rPr>
        <w:tab/>
        <w:t xml:space="preserve">The next difference of note is that the Exodus text takes place at Mount Sinai, whereas the Deuteronomy text occurs at Horev. Ibn Ezra </w:t>
      </w:r>
      <w:r w:rsidR="00E3774E">
        <w:rPr>
          <w:rFonts w:asciiTheme="majorBidi" w:hAnsiTheme="majorBidi" w:cstheme="majorBidi"/>
          <w:sz w:val="32"/>
          <w:szCs w:val="32"/>
          <w:lang w:bidi="he-IL"/>
        </w:rPr>
        <w:t>responds to this conundrum</w:t>
      </w:r>
      <w:r>
        <w:rPr>
          <w:rFonts w:asciiTheme="majorBidi" w:hAnsiTheme="majorBidi" w:cstheme="majorBidi"/>
          <w:sz w:val="32"/>
          <w:szCs w:val="32"/>
          <w:lang w:bidi="he-IL"/>
        </w:rPr>
        <w:t xml:space="preserve"> by stating that Horev is just another name for Sinai.</w:t>
      </w:r>
      <w:r>
        <w:rPr>
          <w:rStyle w:val="FootnoteReference"/>
          <w:rFonts w:asciiTheme="majorBidi" w:hAnsiTheme="majorBidi" w:cstheme="majorBidi"/>
          <w:sz w:val="32"/>
          <w:szCs w:val="32"/>
          <w:lang w:bidi="he-IL"/>
        </w:rPr>
        <w:footnoteReference w:id="5"/>
      </w:r>
      <w:r>
        <w:rPr>
          <w:rFonts w:asciiTheme="majorBidi" w:hAnsiTheme="majorBidi" w:cstheme="majorBidi"/>
          <w:sz w:val="32"/>
          <w:szCs w:val="32"/>
          <w:lang w:bidi="he-IL"/>
        </w:rPr>
        <w:t xml:space="preserve"> However, perhaps Horev was a different place where the Israelites made a covenant with G-d before accepting the </w:t>
      </w:r>
      <w:r>
        <w:rPr>
          <w:rFonts w:asciiTheme="majorBidi" w:hAnsiTheme="majorBidi" w:cstheme="majorBidi"/>
          <w:sz w:val="32"/>
          <w:szCs w:val="32"/>
          <w:lang w:bidi="he-IL"/>
        </w:rPr>
        <w:lastRenderedPageBreak/>
        <w:t xml:space="preserve">commandments. Moses is speaking to the next generation of Israelites here (as the ones at Sinai had already died in the desert) so he is emphasizing that this covenant was not only with that generation but to those that followed. </w:t>
      </w:r>
      <w:r w:rsidR="00AF5358">
        <w:rPr>
          <w:rFonts w:asciiTheme="majorBidi" w:hAnsiTheme="majorBidi" w:cstheme="majorBidi"/>
          <w:sz w:val="32"/>
          <w:szCs w:val="32"/>
          <w:lang w:bidi="he-IL"/>
        </w:rPr>
        <w:t>Further</w:t>
      </w:r>
      <w:r>
        <w:rPr>
          <w:rFonts w:asciiTheme="majorBidi" w:hAnsiTheme="majorBidi" w:cstheme="majorBidi"/>
          <w:sz w:val="32"/>
          <w:szCs w:val="32"/>
          <w:lang w:bidi="he-IL"/>
        </w:rPr>
        <w:t xml:space="preserve"> illustrating this point is that the commandments are referred to in Exodus as </w:t>
      </w:r>
      <w:r>
        <w:rPr>
          <w:rFonts w:asciiTheme="majorBidi" w:hAnsiTheme="majorBidi" w:cstheme="majorBidi"/>
          <w:i/>
          <w:iCs/>
          <w:sz w:val="32"/>
          <w:szCs w:val="32"/>
          <w:lang w:bidi="he-IL"/>
        </w:rPr>
        <w:t>d’varim</w:t>
      </w:r>
      <w:r>
        <w:rPr>
          <w:rFonts w:asciiTheme="majorBidi" w:hAnsiTheme="majorBidi" w:cstheme="majorBidi"/>
          <w:sz w:val="32"/>
          <w:szCs w:val="32"/>
          <w:lang w:bidi="he-IL"/>
        </w:rPr>
        <w:t>,</w:t>
      </w:r>
      <w:r w:rsidR="00E3774E">
        <w:rPr>
          <w:rStyle w:val="FootnoteReference"/>
          <w:rFonts w:asciiTheme="majorBidi" w:hAnsiTheme="majorBidi" w:cstheme="majorBidi"/>
          <w:sz w:val="32"/>
          <w:szCs w:val="32"/>
          <w:lang w:bidi="he-IL"/>
        </w:rPr>
        <w:footnoteReference w:id="6"/>
      </w:r>
      <w:r>
        <w:rPr>
          <w:rFonts w:asciiTheme="majorBidi" w:hAnsiTheme="majorBidi" w:cstheme="majorBidi"/>
          <w:sz w:val="32"/>
          <w:szCs w:val="32"/>
          <w:lang w:bidi="he-IL"/>
        </w:rPr>
        <w:t xml:space="preserve"> or statements, </w:t>
      </w:r>
      <w:r w:rsidR="00B02132">
        <w:rPr>
          <w:rFonts w:asciiTheme="majorBidi" w:hAnsiTheme="majorBidi" w:cstheme="majorBidi"/>
          <w:sz w:val="32"/>
          <w:szCs w:val="32"/>
          <w:lang w:bidi="he-IL"/>
        </w:rPr>
        <w:t xml:space="preserve">just referring to those words alone, </w:t>
      </w:r>
      <w:r>
        <w:rPr>
          <w:rFonts w:asciiTheme="majorBidi" w:hAnsiTheme="majorBidi" w:cstheme="majorBidi"/>
          <w:sz w:val="32"/>
          <w:szCs w:val="32"/>
          <w:lang w:bidi="he-IL"/>
        </w:rPr>
        <w:t xml:space="preserve">whereas in Deuteronomy Moses </w:t>
      </w:r>
      <w:r w:rsidR="00B02132">
        <w:rPr>
          <w:rFonts w:asciiTheme="majorBidi" w:hAnsiTheme="majorBidi" w:cstheme="majorBidi"/>
          <w:sz w:val="32"/>
          <w:szCs w:val="32"/>
          <w:lang w:bidi="he-IL"/>
        </w:rPr>
        <w:t>refers</w:t>
      </w:r>
      <w:r>
        <w:rPr>
          <w:rFonts w:asciiTheme="majorBidi" w:hAnsiTheme="majorBidi" w:cstheme="majorBidi"/>
          <w:sz w:val="32"/>
          <w:szCs w:val="32"/>
          <w:lang w:bidi="he-IL"/>
        </w:rPr>
        <w:t xml:space="preserve"> to </w:t>
      </w:r>
      <w:r w:rsidR="00B02132">
        <w:rPr>
          <w:rFonts w:asciiTheme="majorBidi" w:hAnsiTheme="majorBidi" w:cstheme="majorBidi"/>
          <w:i/>
          <w:iCs/>
          <w:sz w:val="32"/>
          <w:szCs w:val="32"/>
          <w:lang w:bidi="he-IL"/>
        </w:rPr>
        <w:t>hukim v’mishpatim,</w:t>
      </w:r>
      <w:r w:rsidR="00E3774E" w:rsidRPr="00E3774E">
        <w:rPr>
          <w:rStyle w:val="FootnoteReference"/>
          <w:rFonts w:asciiTheme="majorBidi" w:hAnsiTheme="majorBidi" w:cstheme="majorBidi"/>
          <w:i/>
          <w:iCs/>
          <w:sz w:val="32"/>
          <w:szCs w:val="32"/>
          <w:lang w:bidi="he-IL"/>
        </w:rPr>
        <w:t xml:space="preserve"> </w:t>
      </w:r>
      <w:r w:rsidR="00E3774E">
        <w:rPr>
          <w:rStyle w:val="FootnoteReference"/>
          <w:rFonts w:asciiTheme="majorBidi" w:hAnsiTheme="majorBidi" w:cstheme="majorBidi"/>
          <w:i/>
          <w:iCs/>
          <w:sz w:val="32"/>
          <w:szCs w:val="32"/>
          <w:lang w:bidi="he-IL"/>
        </w:rPr>
        <w:footnoteReference w:id="7"/>
      </w:r>
      <w:r w:rsidR="00B02132">
        <w:rPr>
          <w:rFonts w:asciiTheme="majorBidi" w:hAnsiTheme="majorBidi" w:cstheme="majorBidi"/>
          <w:sz w:val="32"/>
          <w:szCs w:val="32"/>
          <w:lang w:bidi="he-IL"/>
        </w:rPr>
        <w:t xml:space="preserve"> an inclusive term for all of the commandments. </w:t>
      </w:r>
      <w:r w:rsidR="00E3774E">
        <w:rPr>
          <w:rFonts w:asciiTheme="majorBidi" w:hAnsiTheme="majorBidi" w:cstheme="majorBidi"/>
          <w:sz w:val="32"/>
          <w:szCs w:val="32"/>
          <w:lang w:bidi="he-IL"/>
        </w:rPr>
        <w:t>Moses</w:t>
      </w:r>
      <w:r w:rsidR="00B02132">
        <w:rPr>
          <w:rFonts w:asciiTheme="majorBidi" w:hAnsiTheme="majorBidi" w:cstheme="majorBidi"/>
          <w:sz w:val="32"/>
          <w:szCs w:val="32"/>
          <w:lang w:bidi="he-IL"/>
        </w:rPr>
        <w:t xml:space="preserve"> is </w:t>
      </w:r>
      <w:r w:rsidR="00E3774E">
        <w:rPr>
          <w:rFonts w:asciiTheme="majorBidi" w:hAnsiTheme="majorBidi" w:cstheme="majorBidi"/>
          <w:sz w:val="32"/>
          <w:szCs w:val="32"/>
          <w:lang w:bidi="he-IL"/>
        </w:rPr>
        <w:t xml:space="preserve">now </w:t>
      </w:r>
      <w:r w:rsidR="00B02132">
        <w:rPr>
          <w:rFonts w:asciiTheme="majorBidi" w:hAnsiTheme="majorBidi" w:cstheme="majorBidi"/>
          <w:sz w:val="32"/>
          <w:szCs w:val="32"/>
          <w:lang w:bidi="he-IL"/>
        </w:rPr>
        <w:t>addressing the Israelites with all of the commandments so that they will observe them when they enter the Land of Israel.</w:t>
      </w:r>
    </w:p>
    <w:p w:rsidR="00B02132" w:rsidRDefault="00B02132" w:rsidP="00E3774E">
      <w:pPr>
        <w:spacing w:line="480" w:lineRule="auto"/>
        <w:rPr>
          <w:rFonts w:asciiTheme="majorBidi" w:hAnsiTheme="majorBidi" w:cstheme="majorBidi"/>
          <w:sz w:val="32"/>
          <w:szCs w:val="32"/>
          <w:lang w:bidi="he-IL"/>
        </w:rPr>
      </w:pPr>
      <w:r>
        <w:rPr>
          <w:rFonts w:asciiTheme="majorBidi" w:hAnsiTheme="majorBidi" w:cstheme="majorBidi"/>
          <w:sz w:val="32"/>
          <w:szCs w:val="32"/>
          <w:lang w:bidi="he-IL"/>
        </w:rPr>
        <w:tab/>
      </w:r>
      <w:r w:rsidR="00AF5358">
        <w:rPr>
          <w:rFonts w:asciiTheme="majorBidi" w:hAnsiTheme="majorBidi" w:cstheme="majorBidi"/>
          <w:sz w:val="32"/>
          <w:szCs w:val="32"/>
          <w:lang w:bidi="he-IL"/>
        </w:rPr>
        <w:t xml:space="preserve">Now we examine the content of the commandments themselves. </w:t>
      </w:r>
      <w:r>
        <w:rPr>
          <w:rFonts w:asciiTheme="majorBidi" w:hAnsiTheme="majorBidi" w:cstheme="majorBidi"/>
          <w:sz w:val="32"/>
          <w:szCs w:val="32"/>
          <w:lang w:bidi="he-IL"/>
        </w:rPr>
        <w:t xml:space="preserve">The first major change (besides just the absence of a “vav”) is in the fourth commandment, where in Exodus it says </w:t>
      </w:r>
      <w:r>
        <w:rPr>
          <w:rFonts w:asciiTheme="majorBidi" w:hAnsiTheme="majorBidi" w:cstheme="majorBidi"/>
          <w:i/>
          <w:iCs/>
          <w:sz w:val="32"/>
          <w:szCs w:val="32"/>
          <w:lang w:bidi="he-IL"/>
        </w:rPr>
        <w:t>zachor</w:t>
      </w:r>
      <w:r>
        <w:rPr>
          <w:rFonts w:asciiTheme="majorBidi" w:hAnsiTheme="majorBidi" w:cstheme="majorBidi"/>
          <w:sz w:val="32"/>
          <w:szCs w:val="32"/>
          <w:lang w:bidi="he-IL"/>
        </w:rPr>
        <w:t xml:space="preserve"> (remember) whereas in Deuteronomy is says </w:t>
      </w:r>
      <w:r>
        <w:rPr>
          <w:rFonts w:asciiTheme="majorBidi" w:hAnsiTheme="majorBidi" w:cstheme="majorBidi"/>
          <w:i/>
          <w:iCs/>
          <w:sz w:val="32"/>
          <w:szCs w:val="32"/>
          <w:lang w:bidi="he-IL"/>
        </w:rPr>
        <w:t>shamor</w:t>
      </w:r>
      <w:r>
        <w:rPr>
          <w:rFonts w:asciiTheme="majorBidi" w:hAnsiTheme="majorBidi" w:cstheme="majorBidi"/>
          <w:sz w:val="32"/>
          <w:szCs w:val="32"/>
          <w:lang w:bidi="he-IL"/>
        </w:rPr>
        <w:t xml:space="preserve"> (observe).</w:t>
      </w:r>
      <w:r>
        <w:rPr>
          <w:rStyle w:val="FootnoteReference"/>
          <w:rFonts w:asciiTheme="majorBidi" w:hAnsiTheme="majorBidi" w:cstheme="majorBidi"/>
          <w:sz w:val="32"/>
          <w:szCs w:val="32"/>
          <w:lang w:bidi="he-IL"/>
        </w:rPr>
        <w:footnoteReference w:id="8"/>
      </w:r>
      <w:r>
        <w:rPr>
          <w:rFonts w:asciiTheme="majorBidi" w:hAnsiTheme="majorBidi" w:cstheme="majorBidi"/>
          <w:sz w:val="32"/>
          <w:szCs w:val="32"/>
          <w:lang w:bidi="he-IL"/>
        </w:rPr>
        <w:t xml:space="preserve"> The well-known Midrash to this is that G-d said both words at the same time, </w:t>
      </w:r>
      <w:r w:rsidR="00257B38">
        <w:rPr>
          <w:rFonts w:asciiTheme="majorBidi" w:hAnsiTheme="majorBidi" w:cstheme="majorBidi"/>
          <w:sz w:val="32"/>
          <w:szCs w:val="32"/>
          <w:lang w:bidi="he-IL"/>
        </w:rPr>
        <w:t>something which the mouth cannot say and the ear cannot hear. After all</w:t>
      </w:r>
      <w:r w:rsidR="00E3774E">
        <w:rPr>
          <w:rFonts w:asciiTheme="majorBidi" w:hAnsiTheme="majorBidi" w:cstheme="majorBidi"/>
          <w:sz w:val="32"/>
          <w:szCs w:val="32"/>
          <w:lang w:bidi="he-IL"/>
        </w:rPr>
        <w:t>,</w:t>
      </w:r>
      <w:r w:rsidR="00257B38">
        <w:rPr>
          <w:rFonts w:asciiTheme="majorBidi" w:hAnsiTheme="majorBidi" w:cstheme="majorBidi"/>
          <w:sz w:val="32"/>
          <w:szCs w:val="32"/>
          <w:lang w:bidi="he-IL"/>
        </w:rPr>
        <w:t xml:space="preserve"> this is G-d saying the words</w:t>
      </w:r>
      <w:r w:rsidR="00E3774E">
        <w:rPr>
          <w:rFonts w:asciiTheme="majorBidi" w:hAnsiTheme="majorBidi" w:cstheme="majorBidi"/>
          <w:sz w:val="32"/>
          <w:szCs w:val="32"/>
          <w:lang w:bidi="he-IL"/>
        </w:rPr>
        <w:t>,</w:t>
      </w:r>
      <w:r w:rsidR="00257B38">
        <w:rPr>
          <w:rFonts w:asciiTheme="majorBidi" w:hAnsiTheme="majorBidi" w:cstheme="majorBidi"/>
          <w:sz w:val="32"/>
          <w:szCs w:val="32"/>
          <w:lang w:bidi="he-IL"/>
        </w:rPr>
        <w:t xml:space="preserve"> and G-d had the power to communicate in ways </w:t>
      </w:r>
      <w:r w:rsidR="00E3774E">
        <w:rPr>
          <w:rFonts w:asciiTheme="majorBidi" w:hAnsiTheme="majorBidi" w:cstheme="majorBidi"/>
          <w:sz w:val="32"/>
          <w:szCs w:val="32"/>
          <w:lang w:bidi="he-IL"/>
        </w:rPr>
        <w:t xml:space="preserve">that </w:t>
      </w:r>
      <w:r w:rsidR="00E3774E">
        <w:rPr>
          <w:rFonts w:asciiTheme="majorBidi" w:hAnsiTheme="majorBidi" w:cstheme="majorBidi"/>
          <w:sz w:val="32"/>
          <w:szCs w:val="32"/>
          <w:lang w:bidi="he-IL"/>
        </w:rPr>
        <w:lastRenderedPageBreak/>
        <w:t>we as mere humans cannot</w:t>
      </w:r>
      <w:r w:rsidR="00257B38">
        <w:rPr>
          <w:rFonts w:asciiTheme="majorBidi" w:hAnsiTheme="majorBidi" w:cstheme="majorBidi"/>
          <w:sz w:val="32"/>
          <w:szCs w:val="32"/>
          <w:lang w:bidi="he-IL"/>
        </w:rPr>
        <w:t>. W</w:t>
      </w:r>
      <w:r>
        <w:rPr>
          <w:rFonts w:asciiTheme="majorBidi" w:hAnsiTheme="majorBidi" w:cstheme="majorBidi"/>
          <w:sz w:val="32"/>
          <w:szCs w:val="32"/>
          <w:lang w:bidi="he-IL"/>
        </w:rPr>
        <w:t xml:space="preserve">e refer to this in Lecha Dodi when we proclaim </w:t>
      </w:r>
      <w:r>
        <w:rPr>
          <w:rFonts w:asciiTheme="majorBidi" w:hAnsiTheme="majorBidi" w:cstheme="majorBidi" w:hint="cs"/>
          <w:sz w:val="32"/>
          <w:szCs w:val="32"/>
          <w:rtl/>
          <w:lang w:bidi="he-IL"/>
        </w:rPr>
        <w:t>שמור וזכור בדבור אחד</w:t>
      </w:r>
      <w:r w:rsidR="00E3774E">
        <w:rPr>
          <w:rFonts w:asciiTheme="majorBidi" w:hAnsiTheme="majorBidi" w:cstheme="majorBidi"/>
          <w:sz w:val="32"/>
          <w:szCs w:val="32"/>
          <w:lang w:bidi="he-IL"/>
        </w:rPr>
        <w:t>, ‘observe’ and ‘remember’ were said with one word</w:t>
      </w:r>
      <w:r>
        <w:rPr>
          <w:rFonts w:asciiTheme="majorBidi" w:hAnsiTheme="majorBidi" w:cstheme="majorBidi"/>
          <w:sz w:val="32"/>
          <w:szCs w:val="32"/>
          <w:lang w:bidi="he-IL"/>
        </w:rPr>
        <w:t xml:space="preserve">. The next major difference is that the </w:t>
      </w:r>
      <w:r w:rsidR="00257B38">
        <w:rPr>
          <w:rFonts w:asciiTheme="majorBidi" w:hAnsiTheme="majorBidi" w:cstheme="majorBidi"/>
          <w:sz w:val="32"/>
          <w:szCs w:val="32"/>
          <w:lang w:bidi="he-IL"/>
        </w:rPr>
        <w:t>passage in our parsha</w:t>
      </w:r>
      <w:r>
        <w:rPr>
          <w:rFonts w:asciiTheme="majorBidi" w:hAnsiTheme="majorBidi" w:cstheme="majorBidi"/>
          <w:sz w:val="32"/>
          <w:szCs w:val="32"/>
          <w:lang w:bidi="he-IL"/>
        </w:rPr>
        <w:t xml:space="preserve"> focuses on the importance of one’s slaves resting on the Sabbath day because we were slaves in the land of Egypt.</w:t>
      </w:r>
      <w:r>
        <w:rPr>
          <w:rStyle w:val="FootnoteReference"/>
          <w:rFonts w:asciiTheme="majorBidi" w:hAnsiTheme="majorBidi" w:cstheme="majorBidi"/>
          <w:sz w:val="32"/>
          <w:szCs w:val="32"/>
          <w:lang w:bidi="he-IL"/>
        </w:rPr>
        <w:footnoteReference w:id="9"/>
      </w:r>
      <w:r>
        <w:rPr>
          <w:rFonts w:asciiTheme="majorBidi" w:hAnsiTheme="majorBidi" w:cstheme="majorBidi"/>
          <w:sz w:val="32"/>
          <w:szCs w:val="32"/>
          <w:lang w:bidi="he-IL"/>
        </w:rPr>
        <w:t xml:space="preserve"> It thus ties our redemption from slavery to our giving our slaves a respite from labor on the Sabbath. While we no longer have slaves, this same law would apply to our servants as well. In contrast, the Exodus text has our resting on the Sabbath as an act of </w:t>
      </w:r>
      <w:r>
        <w:rPr>
          <w:rFonts w:asciiTheme="majorBidi" w:hAnsiTheme="majorBidi" w:cstheme="majorBidi"/>
          <w:i/>
          <w:iCs/>
          <w:sz w:val="32"/>
          <w:szCs w:val="32"/>
          <w:lang w:bidi="he-IL"/>
        </w:rPr>
        <w:t>imitatio dei</w:t>
      </w:r>
      <w:r>
        <w:rPr>
          <w:rFonts w:asciiTheme="majorBidi" w:hAnsiTheme="majorBidi" w:cstheme="majorBidi"/>
          <w:sz w:val="32"/>
          <w:szCs w:val="32"/>
          <w:lang w:bidi="he-IL"/>
        </w:rPr>
        <w:t>, following in G-d’s example of resting on the Sabbath.</w:t>
      </w:r>
    </w:p>
    <w:p w:rsidR="00B02132" w:rsidRPr="00B02132" w:rsidRDefault="00B02132" w:rsidP="00E3774E">
      <w:pPr>
        <w:spacing w:line="480" w:lineRule="auto"/>
        <w:rPr>
          <w:rFonts w:asciiTheme="majorBidi" w:hAnsiTheme="majorBidi" w:cstheme="majorBidi"/>
          <w:sz w:val="32"/>
          <w:szCs w:val="32"/>
          <w:lang w:bidi="he-IL"/>
        </w:rPr>
      </w:pPr>
      <w:r>
        <w:rPr>
          <w:rFonts w:asciiTheme="majorBidi" w:hAnsiTheme="majorBidi" w:cstheme="majorBidi"/>
          <w:sz w:val="32"/>
          <w:szCs w:val="32"/>
          <w:lang w:bidi="he-IL"/>
        </w:rPr>
        <w:tab/>
      </w:r>
      <w:r w:rsidR="00257B38">
        <w:rPr>
          <w:rFonts w:asciiTheme="majorBidi" w:hAnsiTheme="majorBidi" w:cstheme="majorBidi"/>
          <w:sz w:val="32"/>
          <w:szCs w:val="32"/>
          <w:lang w:bidi="he-IL"/>
        </w:rPr>
        <w:t xml:space="preserve">The next change of note comes in the </w:t>
      </w:r>
      <w:r w:rsidR="00E3774E">
        <w:rPr>
          <w:rFonts w:asciiTheme="majorBidi" w:hAnsiTheme="majorBidi" w:cstheme="majorBidi"/>
          <w:sz w:val="32"/>
          <w:szCs w:val="32"/>
          <w:lang w:bidi="he-IL"/>
        </w:rPr>
        <w:t xml:space="preserve">ninth </w:t>
      </w:r>
      <w:r w:rsidR="00257B38">
        <w:rPr>
          <w:rFonts w:asciiTheme="majorBidi" w:hAnsiTheme="majorBidi" w:cstheme="majorBidi"/>
          <w:sz w:val="32"/>
          <w:szCs w:val="32"/>
          <w:lang w:bidi="he-IL"/>
        </w:rPr>
        <w:t xml:space="preserve">commandment, where in Exodus the word </w:t>
      </w:r>
      <w:r w:rsidR="00257B38">
        <w:rPr>
          <w:rFonts w:asciiTheme="majorBidi" w:hAnsiTheme="majorBidi" w:cstheme="majorBidi" w:hint="cs"/>
          <w:sz w:val="32"/>
          <w:szCs w:val="32"/>
          <w:rtl/>
          <w:lang w:bidi="he-IL"/>
        </w:rPr>
        <w:t>שקר</w:t>
      </w:r>
      <w:r w:rsidR="00257B38">
        <w:rPr>
          <w:rFonts w:asciiTheme="majorBidi" w:hAnsiTheme="majorBidi" w:cstheme="majorBidi"/>
          <w:sz w:val="32"/>
          <w:szCs w:val="32"/>
          <w:lang w:bidi="he-IL"/>
        </w:rPr>
        <w:t xml:space="preserve"> is used for not being a false witness whereas in our portion the word </w:t>
      </w:r>
      <w:r w:rsidR="00257B38">
        <w:rPr>
          <w:rFonts w:asciiTheme="majorBidi" w:hAnsiTheme="majorBidi" w:cstheme="majorBidi" w:hint="cs"/>
          <w:sz w:val="32"/>
          <w:szCs w:val="32"/>
          <w:rtl/>
          <w:lang w:bidi="he-IL"/>
        </w:rPr>
        <w:t xml:space="preserve"> שוא</w:t>
      </w:r>
      <w:r w:rsidR="00257B38">
        <w:rPr>
          <w:rFonts w:asciiTheme="majorBidi" w:hAnsiTheme="majorBidi" w:cstheme="majorBidi"/>
          <w:sz w:val="32"/>
          <w:szCs w:val="32"/>
          <w:lang w:bidi="he-IL"/>
        </w:rPr>
        <w:t xml:space="preserve">is used. </w:t>
      </w:r>
      <w:r w:rsidR="00257B38">
        <w:rPr>
          <w:rFonts w:asciiTheme="majorBidi" w:hAnsiTheme="majorBidi" w:cstheme="majorBidi" w:hint="cs"/>
          <w:sz w:val="32"/>
          <w:szCs w:val="32"/>
          <w:rtl/>
          <w:lang w:bidi="he-IL"/>
        </w:rPr>
        <w:t>שוא</w:t>
      </w:r>
      <w:r w:rsidR="00257B38">
        <w:rPr>
          <w:rFonts w:asciiTheme="majorBidi" w:hAnsiTheme="majorBidi" w:cstheme="majorBidi"/>
          <w:sz w:val="32"/>
          <w:szCs w:val="32"/>
          <w:lang w:bidi="he-IL"/>
        </w:rPr>
        <w:t xml:space="preserve"> was previously used in the </w:t>
      </w:r>
      <w:r w:rsidR="00E3774E">
        <w:rPr>
          <w:rFonts w:asciiTheme="majorBidi" w:hAnsiTheme="majorBidi" w:cstheme="majorBidi"/>
          <w:sz w:val="32"/>
          <w:szCs w:val="32"/>
          <w:lang w:bidi="he-IL"/>
        </w:rPr>
        <w:t xml:space="preserve">third </w:t>
      </w:r>
      <w:r w:rsidR="00257B38">
        <w:rPr>
          <w:rFonts w:asciiTheme="majorBidi" w:hAnsiTheme="majorBidi" w:cstheme="majorBidi"/>
          <w:sz w:val="32"/>
          <w:szCs w:val="32"/>
          <w:lang w:bidi="he-IL"/>
        </w:rPr>
        <w:t xml:space="preserve">commandment for not taking G-d’s name in vain. </w:t>
      </w:r>
      <w:r w:rsidR="00AF5358">
        <w:rPr>
          <w:rFonts w:asciiTheme="majorBidi" w:hAnsiTheme="majorBidi" w:cstheme="majorBidi"/>
          <w:sz w:val="32"/>
          <w:szCs w:val="32"/>
          <w:lang w:bidi="he-IL"/>
        </w:rPr>
        <w:t xml:space="preserve">The Yerushalmi takes a similar line of thought as to what we previously discussed, stating that the words </w:t>
      </w:r>
      <w:r w:rsidR="00AF5358">
        <w:rPr>
          <w:rFonts w:asciiTheme="majorBidi" w:hAnsiTheme="majorBidi" w:cstheme="majorBidi" w:hint="cs"/>
          <w:sz w:val="32"/>
          <w:szCs w:val="32"/>
          <w:rtl/>
          <w:lang w:bidi="he-IL"/>
        </w:rPr>
        <w:t>שקר ושוא</w:t>
      </w:r>
      <w:r w:rsidR="00AF5358">
        <w:rPr>
          <w:rFonts w:asciiTheme="majorBidi" w:hAnsiTheme="majorBidi" w:cstheme="majorBidi"/>
          <w:sz w:val="32"/>
          <w:szCs w:val="32"/>
          <w:lang w:bidi="he-IL"/>
        </w:rPr>
        <w:t xml:space="preserve"> were both said at the same time.</w:t>
      </w:r>
      <w:r w:rsidR="00AF5358">
        <w:rPr>
          <w:rStyle w:val="FootnoteReference"/>
          <w:rFonts w:asciiTheme="majorBidi" w:hAnsiTheme="majorBidi" w:cstheme="majorBidi"/>
          <w:sz w:val="32"/>
          <w:szCs w:val="32"/>
          <w:lang w:bidi="he-IL"/>
        </w:rPr>
        <w:footnoteReference w:id="10"/>
      </w:r>
    </w:p>
    <w:p w:rsidR="00B02132" w:rsidRDefault="00B02132" w:rsidP="00E3774E">
      <w:pPr>
        <w:spacing w:line="480" w:lineRule="auto"/>
        <w:rPr>
          <w:rFonts w:asciiTheme="majorBidi" w:hAnsiTheme="majorBidi" w:cstheme="majorBidi"/>
          <w:sz w:val="32"/>
          <w:szCs w:val="32"/>
          <w:lang w:bidi="he-IL"/>
        </w:rPr>
      </w:pPr>
      <w:r>
        <w:rPr>
          <w:rFonts w:asciiTheme="majorBidi" w:hAnsiTheme="majorBidi" w:cstheme="majorBidi"/>
          <w:sz w:val="32"/>
          <w:szCs w:val="32"/>
          <w:lang w:bidi="he-IL"/>
        </w:rPr>
        <w:lastRenderedPageBreak/>
        <w:tab/>
      </w:r>
      <w:r w:rsidR="00257B38">
        <w:rPr>
          <w:rFonts w:asciiTheme="majorBidi" w:hAnsiTheme="majorBidi" w:cstheme="majorBidi"/>
          <w:sz w:val="32"/>
          <w:szCs w:val="32"/>
          <w:lang w:bidi="he-IL"/>
        </w:rPr>
        <w:t xml:space="preserve">Finally we reach the </w:t>
      </w:r>
      <w:r w:rsidR="00E3774E">
        <w:rPr>
          <w:rFonts w:asciiTheme="majorBidi" w:hAnsiTheme="majorBidi" w:cstheme="majorBidi"/>
          <w:sz w:val="32"/>
          <w:szCs w:val="32"/>
          <w:lang w:bidi="he-IL"/>
        </w:rPr>
        <w:t>tenth</w:t>
      </w:r>
      <w:r w:rsidR="00257B38">
        <w:rPr>
          <w:rFonts w:asciiTheme="majorBidi" w:hAnsiTheme="majorBidi" w:cstheme="majorBidi"/>
          <w:sz w:val="32"/>
          <w:szCs w:val="32"/>
          <w:lang w:bidi="he-IL"/>
        </w:rPr>
        <w:t xml:space="preserve"> commandment, which uses the word </w:t>
      </w:r>
      <w:r w:rsidR="00257B38">
        <w:rPr>
          <w:rFonts w:asciiTheme="majorBidi" w:hAnsiTheme="majorBidi" w:cstheme="majorBidi" w:hint="cs"/>
          <w:sz w:val="32"/>
          <w:szCs w:val="32"/>
          <w:rtl/>
          <w:lang w:bidi="he-IL"/>
        </w:rPr>
        <w:t>תחמוד</w:t>
      </w:r>
      <w:r w:rsidR="00257B38">
        <w:rPr>
          <w:rFonts w:asciiTheme="majorBidi" w:hAnsiTheme="majorBidi" w:cstheme="majorBidi"/>
          <w:sz w:val="32"/>
          <w:szCs w:val="32"/>
          <w:lang w:bidi="he-IL"/>
        </w:rPr>
        <w:t xml:space="preserve">, or “covet,” when referring to one’s neighbor’s house. However, in our parsha it uses </w:t>
      </w:r>
      <w:r w:rsidR="00257B38">
        <w:rPr>
          <w:rFonts w:asciiTheme="majorBidi" w:hAnsiTheme="majorBidi" w:cstheme="majorBidi" w:hint="cs"/>
          <w:sz w:val="32"/>
          <w:szCs w:val="32"/>
          <w:rtl/>
          <w:lang w:bidi="he-IL"/>
        </w:rPr>
        <w:t>תתאוה</w:t>
      </w:r>
      <w:r w:rsidR="00257B38">
        <w:rPr>
          <w:rFonts w:asciiTheme="majorBidi" w:hAnsiTheme="majorBidi" w:cstheme="majorBidi"/>
          <w:sz w:val="32"/>
          <w:szCs w:val="32"/>
          <w:lang w:bidi="he-IL"/>
        </w:rPr>
        <w:t xml:space="preserve">, </w:t>
      </w:r>
      <w:r w:rsidR="00E3774E">
        <w:rPr>
          <w:rFonts w:asciiTheme="majorBidi" w:hAnsiTheme="majorBidi" w:cstheme="majorBidi"/>
          <w:sz w:val="32"/>
          <w:szCs w:val="32"/>
          <w:lang w:bidi="he-IL"/>
        </w:rPr>
        <w:t xml:space="preserve">speaking about </w:t>
      </w:r>
      <w:r w:rsidR="00257B38">
        <w:rPr>
          <w:rFonts w:asciiTheme="majorBidi" w:hAnsiTheme="majorBidi" w:cstheme="majorBidi"/>
          <w:sz w:val="32"/>
          <w:szCs w:val="32"/>
          <w:lang w:bidi="he-IL"/>
        </w:rPr>
        <w:t xml:space="preserve">an inappropriate desiring, when referring to one’s neighbor’s wife, as opposed to Exodus, which uses </w:t>
      </w:r>
      <w:r w:rsidR="00257B38">
        <w:rPr>
          <w:rFonts w:asciiTheme="majorBidi" w:hAnsiTheme="majorBidi" w:cstheme="majorBidi" w:hint="cs"/>
          <w:sz w:val="32"/>
          <w:szCs w:val="32"/>
          <w:rtl/>
          <w:lang w:bidi="he-IL"/>
        </w:rPr>
        <w:t>תחמוד</w:t>
      </w:r>
      <w:r w:rsidR="00257B38">
        <w:rPr>
          <w:rFonts w:asciiTheme="majorBidi" w:hAnsiTheme="majorBidi" w:cstheme="majorBidi"/>
          <w:sz w:val="32"/>
          <w:szCs w:val="32"/>
          <w:lang w:bidi="he-IL"/>
        </w:rPr>
        <w:t xml:space="preserve"> again. The Torah Temimah indicates that desiring leads to coveting which leads to taking by force.</w:t>
      </w:r>
      <w:r w:rsidR="00257B38">
        <w:rPr>
          <w:rStyle w:val="FootnoteReference"/>
          <w:rFonts w:asciiTheme="majorBidi" w:hAnsiTheme="majorBidi" w:cstheme="majorBidi"/>
          <w:sz w:val="32"/>
          <w:szCs w:val="32"/>
          <w:lang w:bidi="he-IL"/>
        </w:rPr>
        <w:footnoteReference w:id="11"/>
      </w:r>
      <w:r w:rsidR="00257B38">
        <w:rPr>
          <w:rFonts w:asciiTheme="majorBidi" w:hAnsiTheme="majorBidi" w:cstheme="majorBidi"/>
          <w:sz w:val="32"/>
          <w:szCs w:val="32"/>
          <w:lang w:bidi="he-IL"/>
        </w:rPr>
        <w:t xml:space="preserve"> </w:t>
      </w:r>
      <w:r w:rsidR="00AF5358">
        <w:rPr>
          <w:rFonts w:asciiTheme="majorBidi" w:hAnsiTheme="majorBidi" w:cstheme="majorBidi"/>
          <w:sz w:val="32"/>
          <w:szCs w:val="32"/>
          <w:lang w:bidi="he-IL"/>
        </w:rPr>
        <w:t xml:space="preserve">Hence, one cannot even have desirous thoughts about one’s neighbor’s wife. </w:t>
      </w:r>
      <w:r w:rsidR="00257B38">
        <w:rPr>
          <w:rFonts w:asciiTheme="majorBidi" w:hAnsiTheme="majorBidi" w:cstheme="majorBidi"/>
          <w:sz w:val="32"/>
          <w:szCs w:val="32"/>
          <w:lang w:bidi="he-IL"/>
        </w:rPr>
        <w:t>Generally Judaism does not penalize people for their thoughts but here an extra fence or precaution is taken to prevent someone from engaging in an inappropriate act.</w:t>
      </w:r>
    </w:p>
    <w:p w:rsidR="00005C0C" w:rsidRPr="00005C0C" w:rsidRDefault="00257B38" w:rsidP="00E3774E">
      <w:pPr>
        <w:spacing w:line="480" w:lineRule="auto"/>
        <w:rPr>
          <w:rFonts w:asciiTheme="majorBidi" w:hAnsiTheme="majorBidi" w:cstheme="majorBidi"/>
          <w:sz w:val="32"/>
          <w:szCs w:val="32"/>
          <w:lang w:bidi="he-IL"/>
        </w:rPr>
      </w:pPr>
      <w:r>
        <w:rPr>
          <w:rFonts w:asciiTheme="majorBidi" w:hAnsiTheme="majorBidi" w:cstheme="majorBidi"/>
          <w:sz w:val="32"/>
          <w:szCs w:val="32"/>
          <w:lang w:bidi="he-IL"/>
        </w:rPr>
        <w:tab/>
      </w:r>
      <w:r w:rsidR="00F832EB">
        <w:rPr>
          <w:rFonts w:asciiTheme="majorBidi" w:hAnsiTheme="majorBidi" w:cstheme="majorBidi"/>
          <w:sz w:val="32"/>
          <w:szCs w:val="32"/>
          <w:lang w:bidi="he-IL"/>
        </w:rPr>
        <w:t>Why so many difference</w:t>
      </w:r>
      <w:r w:rsidR="00E3774E">
        <w:rPr>
          <w:rFonts w:asciiTheme="majorBidi" w:hAnsiTheme="majorBidi" w:cstheme="majorBidi"/>
          <w:sz w:val="32"/>
          <w:szCs w:val="32"/>
          <w:lang w:bidi="he-IL"/>
        </w:rPr>
        <w:t>s</w:t>
      </w:r>
      <w:r w:rsidR="00F832EB">
        <w:rPr>
          <w:rFonts w:asciiTheme="majorBidi" w:hAnsiTheme="majorBidi" w:cstheme="majorBidi"/>
          <w:sz w:val="32"/>
          <w:szCs w:val="32"/>
          <w:lang w:bidi="he-IL"/>
        </w:rPr>
        <w:t xml:space="preserve"> in the two sets of 10 commandments-especially if the tablets were stored in the Ark which followed the Israelites throughout their journeys? It appears to me that the differences indicate that one should not place too much import on these commandments. It is true that they are the basis for creating a just society, but they are not the be all and end all. This is the reason why the recitation of the 10 commandments was taken out of our daily liturgy, as </w:t>
      </w:r>
      <w:r w:rsidR="00F832EB">
        <w:rPr>
          <w:rFonts w:asciiTheme="majorBidi" w:hAnsiTheme="majorBidi" w:cstheme="majorBidi"/>
          <w:sz w:val="32"/>
          <w:szCs w:val="32"/>
          <w:lang w:bidi="he-IL"/>
        </w:rPr>
        <w:lastRenderedPageBreak/>
        <w:t>people were ascribing too much import to these commandments and not all the other aspects of living Judaism. We should learn from this that while we stand for these commandments</w:t>
      </w:r>
      <w:r w:rsidR="00E40194">
        <w:rPr>
          <w:rFonts w:asciiTheme="majorBidi" w:hAnsiTheme="majorBidi" w:cstheme="majorBidi"/>
          <w:sz w:val="32"/>
          <w:szCs w:val="32"/>
          <w:lang w:bidi="he-IL"/>
        </w:rPr>
        <w:t xml:space="preserve"> and relive their majesty each time they are read, we cannot stop there but rather must utilize it as a base point for increasing our observance and turning </w:t>
      </w:r>
      <w:r w:rsidR="00E3774E">
        <w:rPr>
          <w:rFonts w:asciiTheme="majorBidi" w:hAnsiTheme="majorBidi" w:cstheme="majorBidi"/>
          <w:sz w:val="32"/>
          <w:szCs w:val="32"/>
          <w:lang w:bidi="he-IL"/>
        </w:rPr>
        <w:t>to all of the mitzvot</w:t>
      </w:r>
      <w:r w:rsidR="00E40194">
        <w:rPr>
          <w:rFonts w:asciiTheme="majorBidi" w:hAnsiTheme="majorBidi" w:cstheme="majorBidi"/>
          <w:sz w:val="32"/>
          <w:szCs w:val="32"/>
          <w:lang w:bidi="he-IL"/>
        </w:rPr>
        <w:t>. As we turn towards the coming year 5777, let us determine how we want to strengthen our Jewish observance in the year ahead. How do we want to make Shabbat, Kashrut, Prayer or Hagim mo</w:t>
      </w:r>
      <w:r w:rsidR="00E3774E">
        <w:rPr>
          <w:rFonts w:asciiTheme="majorBidi" w:hAnsiTheme="majorBidi" w:cstheme="majorBidi"/>
          <w:sz w:val="32"/>
          <w:szCs w:val="32"/>
          <w:lang w:bidi="he-IL"/>
        </w:rPr>
        <w:t>re integral parts of our lives?</w:t>
      </w:r>
    </w:p>
    <w:sectPr w:rsidR="00005C0C" w:rsidRPr="00005C0C">
      <w:foot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40A26" w:rsidRDefault="00C40A26" w:rsidP="00005C0C">
      <w:pPr>
        <w:spacing w:after="0" w:line="240" w:lineRule="auto"/>
      </w:pPr>
      <w:r>
        <w:separator/>
      </w:r>
    </w:p>
  </w:endnote>
  <w:endnote w:type="continuationSeparator" w:id="0">
    <w:p w:rsidR="00C40A26" w:rsidRDefault="00C40A26" w:rsidP="00005C0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631624711"/>
      <w:docPartObj>
        <w:docPartGallery w:val="Page Numbers (Bottom of Page)"/>
        <w:docPartUnique/>
      </w:docPartObj>
    </w:sdtPr>
    <w:sdtEndPr>
      <w:rPr>
        <w:noProof/>
      </w:rPr>
    </w:sdtEndPr>
    <w:sdtContent>
      <w:p w:rsidR="00F832EB" w:rsidRDefault="00F832EB">
        <w:pPr>
          <w:pStyle w:val="Footer"/>
          <w:jc w:val="right"/>
        </w:pPr>
        <w:r>
          <w:fldChar w:fldCharType="begin"/>
        </w:r>
        <w:r>
          <w:instrText xml:space="preserve"> PAGE   \* MERGEFORMAT </w:instrText>
        </w:r>
        <w:r>
          <w:fldChar w:fldCharType="separate"/>
        </w:r>
        <w:r w:rsidR="00E3774E">
          <w:rPr>
            <w:noProof/>
          </w:rPr>
          <w:t>1</w:t>
        </w:r>
        <w:r>
          <w:rPr>
            <w:noProof/>
          </w:rPr>
          <w:fldChar w:fldCharType="end"/>
        </w:r>
      </w:p>
    </w:sdtContent>
  </w:sdt>
  <w:p w:rsidR="00F832EB" w:rsidRDefault="00F832EB">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40A26" w:rsidRDefault="00C40A26" w:rsidP="00005C0C">
      <w:pPr>
        <w:spacing w:after="0" w:line="240" w:lineRule="auto"/>
      </w:pPr>
      <w:r>
        <w:separator/>
      </w:r>
    </w:p>
  </w:footnote>
  <w:footnote w:type="continuationSeparator" w:id="0">
    <w:p w:rsidR="00C40A26" w:rsidRDefault="00C40A26" w:rsidP="00005C0C">
      <w:pPr>
        <w:spacing w:after="0" w:line="240" w:lineRule="auto"/>
      </w:pPr>
      <w:r>
        <w:continuationSeparator/>
      </w:r>
    </w:p>
  </w:footnote>
  <w:footnote w:id="1">
    <w:p w:rsidR="00005C0C" w:rsidRDefault="00005C0C" w:rsidP="00005C0C">
      <w:pPr>
        <w:pStyle w:val="FootnoteText"/>
        <w:ind w:firstLine="720"/>
      </w:pPr>
      <w:r>
        <w:rPr>
          <w:rStyle w:val="FootnoteReference"/>
        </w:rPr>
        <w:footnoteRef/>
      </w:r>
      <w:r>
        <w:t xml:space="preserve"> Deuteronomy 5:5</w:t>
      </w:r>
    </w:p>
  </w:footnote>
  <w:footnote w:id="2">
    <w:p w:rsidR="00E3774E" w:rsidRDefault="00E3774E" w:rsidP="00E3774E">
      <w:pPr>
        <w:pStyle w:val="FootnoteText"/>
        <w:ind w:firstLine="720"/>
      </w:pPr>
      <w:r>
        <w:rPr>
          <w:rStyle w:val="FootnoteReference"/>
        </w:rPr>
        <w:footnoteRef/>
      </w:r>
      <w:r>
        <w:t xml:space="preserve"> Exodus 20:16</w:t>
      </w:r>
    </w:p>
  </w:footnote>
  <w:footnote w:id="3">
    <w:p w:rsidR="00005C0C" w:rsidRDefault="00005C0C" w:rsidP="00005C0C">
      <w:pPr>
        <w:pStyle w:val="FootnoteText"/>
        <w:ind w:firstLine="720"/>
      </w:pPr>
      <w:r>
        <w:rPr>
          <w:rStyle w:val="FootnoteReference"/>
        </w:rPr>
        <w:footnoteRef/>
      </w:r>
      <w:r>
        <w:t xml:space="preserve"> Exodus 19:23</w:t>
      </w:r>
    </w:p>
  </w:footnote>
  <w:footnote w:id="4">
    <w:p w:rsidR="00005C0C" w:rsidRDefault="00005C0C" w:rsidP="00005C0C">
      <w:pPr>
        <w:pStyle w:val="FootnoteText"/>
        <w:ind w:firstLine="720"/>
      </w:pPr>
      <w:r>
        <w:rPr>
          <w:rStyle w:val="FootnoteReference"/>
        </w:rPr>
        <w:footnoteRef/>
      </w:r>
      <w:r>
        <w:t xml:space="preserve"> Babylonian Talmud Makkot 24a</w:t>
      </w:r>
    </w:p>
  </w:footnote>
  <w:footnote w:id="5">
    <w:p w:rsidR="00005C0C" w:rsidRDefault="00005C0C" w:rsidP="00005C0C">
      <w:pPr>
        <w:pStyle w:val="FootnoteText"/>
        <w:ind w:firstLine="720"/>
      </w:pPr>
      <w:r>
        <w:rPr>
          <w:rStyle w:val="FootnoteReference"/>
        </w:rPr>
        <w:footnoteRef/>
      </w:r>
      <w:r>
        <w:t xml:space="preserve"> Ibn Ezra on Deuteronomy 5:2</w:t>
      </w:r>
    </w:p>
  </w:footnote>
  <w:footnote w:id="6">
    <w:p w:rsidR="00E3774E" w:rsidRDefault="00E3774E" w:rsidP="00E3774E">
      <w:pPr>
        <w:pStyle w:val="FootnoteText"/>
        <w:ind w:firstLine="720"/>
      </w:pPr>
      <w:r>
        <w:rPr>
          <w:rStyle w:val="FootnoteReference"/>
        </w:rPr>
        <w:footnoteRef/>
      </w:r>
      <w:r>
        <w:t xml:space="preserve"> Exodus 20:1</w:t>
      </w:r>
    </w:p>
  </w:footnote>
  <w:footnote w:id="7">
    <w:p w:rsidR="00E3774E" w:rsidRDefault="00E3774E" w:rsidP="00E3774E">
      <w:pPr>
        <w:pStyle w:val="FootnoteText"/>
        <w:ind w:firstLine="720"/>
      </w:pPr>
      <w:r>
        <w:rPr>
          <w:rStyle w:val="FootnoteReference"/>
        </w:rPr>
        <w:footnoteRef/>
      </w:r>
      <w:r>
        <w:t xml:space="preserve"> Deuteronomy 4:45</w:t>
      </w:r>
    </w:p>
  </w:footnote>
  <w:footnote w:id="8">
    <w:p w:rsidR="00B02132" w:rsidRDefault="00B02132" w:rsidP="00B02132">
      <w:pPr>
        <w:pStyle w:val="FootnoteText"/>
        <w:ind w:firstLine="720"/>
      </w:pPr>
      <w:r>
        <w:rPr>
          <w:rStyle w:val="FootnoteReference"/>
        </w:rPr>
        <w:footnoteRef/>
      </w:r>
      <w:r>
        <w:t xml:space="preserve"> Mechilta Exodus 20:3</w:t>
      </w:r>
    </w:p>
  </w:footnote>
  <w:footnote w:id="9">
    <w:p w:rsidR="00B02132" w:rsidRDefault="00B02132" w:rsidP="00B02132">
      <w:pPr>
        <w:pStyle w:val="FootnoteText"/>
        <w:ind w:firstLine="720"/>
      </w:pPr>
      <w:r>
        <w:rPr>
          <w:rStyle w:val="FootnoteReference"/>
        </w:rPr>
        <w:footnoteRef/>
      </w:r>
      <w:r>
        <w:t xml:space="preserve"> Deuteronomy 5:14-15</w:t>
      </w:r>
    </w:p>
  </w:footnote>
  <w:footnote w:id="10">
    <w:p w:rsidR="00AF5358" w:rsidRDefault="00AF5358" w:rsidP="00257B38">
      <w:pPr>
        <w:pStyle w:val="FootnoteText"/>
        <w:ind w:firstLine="720"/>
      </w:pPr>
      <w:r>
        <w:rPr>
          <w:rStyle w:val="FootnoteReference"/>
        </w:rPr>
        <w:footnoteRef/>
      </w:r>
      <w:r>
        <w:t xml:space="preserve"> Yerushalmi Nedarim 3:2</w:t>
      </w:r>
    </w:p>
  </w:footnote>
  <w:footnote w:id="11">
    <w:p w:rsidR="00257B38" w:rsidRDefault="00257B38" w:rsidP="00257B38">
      <w:pPr>
        <w:pStyle w:val="FootnoteText"/>
        <w:ind w:firstLine="720"/>
      </w:pPr>
      <w:r>
        <w:rPr>
          <w:rStyle w:val="FootnoteReference"/>
        </w:rPr>
        <w:footnoteRef/>
      </w:r>
      <w:r>
        <w:t xml:space="preserve"> Torah Temimah on Exodus, Page 265</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9"/>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5C0C"/>
    <w:rsid w:val="00005C0C"/>
    <w:rsid w:val="00257B38"/>
    <w:rsid w:val="00411554"/>
    <w:rsid w:val="00AF5358"/>
    <w:rsid w:val="00B02132"/>
    <w:rsid w:val="00C40A26"/>
    <w:rsid w:val="00E3774E"/>
    <w:rsid w:val="00E40194"/>
    <w:rsid w:val="00F63904"/>
    <w:rsid w:val="00F832EB"/>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iPriority w:val="99"/>
    <w:semiHidden/>
    <w:unhideWhenUsed/>
    <w:rsid w:val="00005C0C"/>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005C0C"/>
    <w:rPr>
      <w:sz w:val="20"/>
      <w:szCs w:val="20"/>
    </w:rPr>
  </w:style>
  <w:style w:type="character" w:styleId="FootnoteReference">
    <w:name w:val="footnote reference"/>
    <w:basedOn w:val="DefaultParagraphFont"/>
    <w:uiPriority w:val="99"/>
    <w:semiHidden/>
    <w:unhideWhenUsed/>
    <w:rsid w:val="00005C0C"/>
    <w:rPr>
      <w:vertAlign w:val="superscript"/>
    </w:rPr>
  </w:style>
  <w:style w:type="paragraph" w:styleId="Header">
    <w:name w:val="header"/>
    <w:basedOn w:val="Normal"/>
    <w:link w:val="HeaderChar"/>
    <w:uiPriority w:val="99"/>
    <w:unhideWhenUsed/>
    <w:rsid w:val="00F832EB"/>
    <w:pPr>
      <w:tabs>
        <w:tab w:val="center" w:pos="4680"/>
        <w:tab w:val="right" w:pos="9360"/>
      </w:tabs>
      <w:spacing w:after="0" w:line="240" w:lineRule="auto"/>
    </w:pPr>
  </w:style>
  <w:style w:type="character" w:customStyle="1" w:styleId="HeaderChar">
    <w:name w:val="Header Char"/>
    <w:basedOn w:val="DefaultParagraphFont"/>
    <w:link w:val="Header"/>
    <w:uiPriority w:val="99"/>
    <w:rsid w:val="00F832EB"/>
  </w:style>
  <w:style w:type="paragraph" w:styleId="Footer">
    <w:name w:val="footer"/>
    <w:basedOn w:val="Normal"/>
    <w:link w:val="FooterChar"/>
    <w:uiPriority w:val="99"/>
    <w:unhideWhenUsed/>
    <w:rsid w:val="00F832EB"/>
    <w:pPr>
      <w:tabs>
        <w:tab w:val="center" w:pos="4680"/>
        <w:tab w:val="right" w:pos="9360"/>
      </w:tabs>
      <w:spacing w:after="0" w:line="240" w:lineRule="auto"/>
    </w:pPr>
  </w:style>
  <w:style w:type="character" w:customStyle="1" w:styleId="FooterChar">
    <w:name w:val="Footer Char"/>
    <w:basedOn w:val="DefaultParagraphFont"/>
    <w:link w:val="Footer"/>
    <w:uiPriority w:val="99"/>
    <w:rsid w:val="00F832EB"/>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iPriority w:val="99"/>
    <w:semiHidden/>
    <w:unhideWhenUsed/>
    <w:rsid w:val="00005C0C"/>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005C0C"/>
    <w:rPr>
      <w:sz w:val="20"/>
      <w:szCs w:val="20"/>
    </w:rPr>
  </w:style>
  <w:style w:type="character" w:styleId="FootnoteReference">
    <w:name w:val="footnote reference"/>
    <w:basedOn w:val="DefaultParagraphFont"/>
    <w:uiPriority w:val="99"/>
    <w:semiHidden/>
    <w:unhideWhenUsed/>
    <w:rsid w:val="00005C0C"/>
    <w:rPr>
      <w:vertAlign w:val="superscript"/>
    </w:rPr>
  </w:style>
  <w:style w:type="paragraph" w:styleId="Header">
    <w:name w:val="header"/>
    <w:basedOn w:val="Normal"/>
    <w:link w:val="HeaderChar"/>
    <w:uiPriority w:val="99"/>
    <w:unhideWhenUsed/>
    <w:rsid w:val="00F832EB"/>
    <w:pPr>
      <w:tabs>
        <w:tab w:val="center" w:pos="4680"/>
        <w:tab w:val="right" w:pos="9360"/>
      </w:tabs>
      <w:spacing w:after="0" w:line="240" w:lineRule="auto"/>
    </w:pPr>
  </w:style>
  <w:style w:type="character" w:customStyle="1" w:styleId="HeaderChar">
    <w:name w:val="Header Char"/>
    <w:basedOn w:val="DefaultParagraphFont"/>
    <w:link w:val="Header"/>
    <w:uiPriority w:val="99"/>
    <w:rsid w:val="00F832EB"/>
  </w:style>
  <w:style w:type="paragraph" w:styleId="Footer">
    <w:name w:val="footer"/>
    <w:basedOn w:val="Normal"/>
    <w:link w:val="FooterChar"/>
    <w:uiPriority w:val="99"/>
    <w:unhideWhenUsed/>
    <w:rsid w:val="00F832EB"/>
    <w:pPr>
      <w:tabs>
        <w:tab w:val="center" w:pos="4680"/>
        <w:tab w:val="right" w:pos="9360"/>
      </w:tabs>
      <w:spacing w:after="0" w:line="240" w:lineRule="auto"/>
    </w:pPr>
  </w:style>
  <w:style w:type="character" w:customStyle="1" w:styleId="FooterChar">
    <w:name w:val="Footer Char"/>
    <w:basedOn w:val="DefaultParagraphFont"/>
    <w:link w:val="Footer"/>
    <w:uiPriority w:val="99"/>
    <w:rsid w:val="00F832E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4A96D-55A3-40C9-9DB5-C9CD4E1D826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59</TotalTime>
  <Pages>6</Pages>
  <Words>873</Words>
  <Characters>4979</Characters>
  <Application>Microsoft Office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
    </vt:vector>
  </TitlesOfParts>
  <Company>HP</Company>
  <LinksUpToDate>false</LinksUpToDate>
  <CharactersWithSpaces>5841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Rabbi Jericho JC</dc:creator>
  <cp:lastModifiedBy>Rabbi Jericho JC</cp:lastModifiedBy>
  <cp:revision>4</cp:revision>
  <cp:lastPrinted>2016-04-27T14:12:00Z</cp:lastPrinted>
  <dcterms:created xsi:type="dcterms:W3CDTF">2016-04-27T13:23:00Z</dcterms:created>
  <dcterms:modified xsi:type="dcterms:W3CDTF">2016-08-22T14:09:00Z</dcterms:modified>
</cp:coreProperties>
</file>