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DED" w:rsidRPr="009D2A6F" w:rsidRDefault="009D2A6F" w:rsidP="009D2A6F">
      <w:pPr>
        <w:jc w:val="center"/>
        <w:rPr>
          <w:rFonts w:asciiTheme="majorBidi" w:hAnsiTheme="majorBidi" w:cstheme="majorBidi"/>
          <w:sz w:val="48"/>
          <w:szCs w:val="48"/>
        </w:rPr>
      </w:pPr>
      <w:r w:rsidRPr="009D2A6F">
        <w:rPr>
          <w:rFonts w:asciiTheme="majorBidi" w:hAnsiTheme="majorBidi" w:cstheme="majorBidi"/>
          <w:sz w:val="48"/>
          <w:szCs w:val="48"/>
        </w:rPr>
        <w:t>Yesh Li Kol</w:t>
      </w:r>
    </w:p>
    <w:p w:rsidR="009D2A6F" w:rsidRDefault="009D2A6F" w:rsidP="00630EF6">
      <w:pPr>
        <w:spacing w:line="480" w:lineRule="auto"/>
        <w:rPr>
          <w:rFonts w:asciiTheme="majorBidi" w:hAnsiTheme="majorBidi" w:cstheme="majorBidi"/>
          <w:sz w:val="32"/>
          <w:szCs w:val="32"/>
        </w:rPr>
      </w:pPr>
      <w:r>
        <w:rPr>
          <w:rFonts w:asciiTheme="majorBidi" w:hAnsiTheme="majorBidi" w:cstheme="majorBidi"/>
          <w:sz w:val="32"/>
          <w:szCs w:val="32"/>
        </w:rPr>
        <w:tab/>
        <w:t xml:space="preserve">The stage has been set: two brothers, one who has threatened to kill the other, reunite. Jacob is afraid of his Esau’s plans of vengeance and bloodshed as well as of Esau’s entourage of four hundred people. In a cowardly, or perhaps practical, move he splits his camp in half so that there would be a surviving remnant should Esau wipe out the other half. Esau finds Jacob and approaches him, </w:t>
      </w:r>
      <w:r w:rsidR="00630EF6">
        <w:rPr>
          <w:rFonts w:asciiTheme="majorBidi" w:hAnsiTheme="majorBidi" w:cstheme="majorBidi"/>
          <w:sz w:val="32"/>
          <w:szCs w:val="32"/>
        </w:rPr>
        <w:t>like</w:t>
      </w:r>
      <w:r>
        <w:rPr>
          <w:rFonts w:asciiTheme="majorBidi" w:hAnsiTheme="majorBidi" w:cstheme="majorBidi"/>
          <w:sz w:val="32"/>
          <w:szCs w:val="32"/>
        </w:rPr>
        <w:t xml:space="preserve"> a predator hunting his pray. Jacob bows down in submission, expecting his head to be chopped off. Instead, Esau hugs and kisses him, and the two of them cry.</w:t>
      </w:r>
    </w:p>
    <w:p w:rsidR="009D2A6F" w:rsidRDefault="009D2A6F" w:rsidP="009D2A6F">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The story could have ended there, a picture-perfect Hollywood </w:t>
      </w:r>
      <w:r w:rsidR="00D03F1B">
        <w:rPr>
          <w:rFonts w:asciiTheme="majorBidi" w:hAnsiTheme="majorBidi" w:cstheme="majorBidi"/>
          <w:sz w:val="32"/>
          <w:szCs w:val="32"/>
        </w:rPr>
        <w:t>"bromance"</w:t>
      </w:r>
      <w:r>
        <w:rPr>
          <w:rFonts w:asciiTheme="majorBidi" w:hAnsiTheme="majorBidi" w:cstheme="majorBidi"/>
          <w:sz w:val="32"/>
          <w:szCs w:val="32"/>
        </w:rPr>
        <w:t>, and yet it does not. Jacob offers Esau a gene</w:t>
      </w:r>
      <w:r w:rsidR="004307C4">
        <w:rPr>
          <w:rFonts w:asciiTheme="majorBidi" w:hAnsiTheme="majorBidi" w:cstheme="majorBidi"/>
          <w:sz w:val="32"/>
          <w:szCs w:val="32"/>
        </w:rPr>
        <w:t>rous gift of hundreds of animals</w:t>
      </w:r>
      <w:r>
        <w:rPr>
          <w:rFonts w:asciiTheme="majorBidi" w:hAnsiTheme="majorBidi" w:cstheme="majorBidi"/>
          <w:sz w:val="32"/>
          <w:szCs w:val="32"/>
        </w:rPr>
        <w:t xml:space="preserve">. Esau declines, stating </w:t>
      </w:r>
      <w:r>
        <w:rPr>
          <w:rFonts w:asciiTheme="majorBidi" w:hAnsiTheme="majorBidi" w:cstheme="majorBidi" w:hint="cs"/>
          <w:sz w:val="32"/>
          <w:szCs w:val="32"/>
          <w:rtl/>
          <w:lang w:bidi="he-IL"/>
        </w:rPr>
        <w:t>יש לי רב</w:t>
      </w:r>
      <w:r>
        <w:rPr>
          <w:rFonts w:asciiTheme="majorBidi" w:hAnsiTheme="majorBidi" w:cstheme="majorBidi"/>
          <w:sz w:val="32"/>
          <w:szCs w:val="32"/>
          <w:lang w:bidi="he-IL"/>
        </w:rPr>
        <w:t>, I have plenty.</w:t>
      </w:r>
      <w:r w:rsidR="004307C4">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Jacob does not stop there, however, beseeching his brother to take </w:t>
      </w:r>
      <w:r>
        <w:rPr>
          <w:rFonts w:asciiTheme="majorBidi" w:hAnsiTheme="majorBidi" w:cstheme="majorBidi" w:hint="cs"/>
          <w:sz w:val="32"/>
          <w:szCs w:val="32"/>
          <w:rtl/>
          <w:lang w:bidi="he-IL"/>
        </w:rPr>
        <w:t>ברכתי</w:t>
      </w:r>
      <w:r>
        <w:rPr>
          <w:rFonts w:asciiTheme="majorBidi" w:hAnsiTheme="majorBidi" w:cstheme="majorBidi"/>
          <w:sz w:val="32"/>
          <w:szCs w:val="32"/>
          <w:lang w:bidi="he-IL"/>
        </w:rPr>
        <w:t xml:space="preserve">, his blessing, stating that G-d has been merciful to him and </w:t>
      </w:r>
      <w:r>
        <w:rPr>
          <w:rFonts w:asciiTheme="majorBidi" w:hAnsiTheme="majorBidi" w:cstheme="majorBidi" w:hint="cs"/>
          <w:sz w:val="32"/>
          <w:szCs w:val="32"/>
          <w:rtl/>
          <w:lang w:bidi="he-IL"/>
        </w:rPr>
        <w:t>יש לי כל</w:t>
      </w:r>
      <w:r>
        <w:rPr>
          <w:rFonts w:asciiTheme="majorBidi" w:hAnsiTheme="majorBidi" w:cstheme="majorBidi"/>
          <w:sz w:val="32"/>
          <w:szCs w:val="32"/>
          <w:lang w:bidi="he-IL"/>
        </w:rPr>
        <w:t>, that he has everything.</w:t>
      </w:r>
      <w:r w:rsidR="004307C4">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With some cajoling, Esau accepts the gift.</w:t>
      </w:r>
    </w:p>
    <w:p w:rsidR="009D2A6F" w:rsidRDefault="009D2A6F" w:rsidP="004307C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Commentators have been interested in the difference between Esau </w:t>
      </w:r>
      <w:r w:rsidR="004307C4">
        <w:rPr>
          <w:rFonts w:asciiTheme="majorBidi" w:hAnsiTheme="majorBidi" w:cstheme="majorBidi"/>
          <w:sz w:val="32"/>
          <w:szCs w:val="32"/>
          <w:lang w:bidi="he-IL"/>
        </w:rPr>
        <w:t xml:space="preserve">stating “I have plenty” versus Jacob asserting “I have everything.” Rashi comments that Esau’s </w:t>
      </w:r>
      <w:r w:rsidR="004307C4">
        <w:rPr>
          <w:rFonts w:asciiTheme="majorBidi" w:hAnsiTheme="majorBidi" w:cstheme="majorBidi" w:hint="cs"/>
          <w:sz w:val="32"/>
          <w:szCs w:val="32"/>
          <w:rtl/>
          <w:lang w:bidi="he-IL"/>
        </w:rPr>
        <w:t>יש לי רב</w:t>
      </w:r>
      <w:r w:rsidR="004307C4">
        <w:rPr>
          <w:rFonts w:asciiTheme="majorBidi" w:hAnsiTheme="majorBidi" w:cstheme="majorBidi"/>
          <w:sz w:val="32"/>
          <w:szCs w:val="32"/>
          <w:lang w:bidi="he-IL"/>
        </w:rPr>
        <w:t xml:space="preserve"> means that he has more than he needs. In other words, he is hoarding goods. Jacob, on the other hand, speaks from a point of satiation, </w:t>
      </w:r>
      <w:r w:rsidR="004307C4">
        <w:rPr>
          <w:rFonts w:asciiTheme="majorBidi" w:hAnsiTheme="majorBidi" w:cstheme="majorBidi" w:hint="cs"/>
          <w:sz w:val="32"/>
          <w:szCs w:val="32"/>
          <w:rtl/>
          <w:lang w:bidi="he-IL"/>
        </w:rPr>
        <w:t>יש לי כל</w:t>
      </w:r>
      <w:r w:rsidR="004307C4">
        <w:rPr>
          <w:rFonts w:asciiTheme="majorBidi" w:hAnsiTheme="majorBidi" w:cstheme="majorBidi"/>
          <w:sz w:val="32"/>
          <w:szCs w:val="32"/>
          <w:lang w:bidi="he-IL"/>
        </w:rPr>
        <w:t>, that he has enough because G-d has been gracious unto him.</w:t>
      </w:r>
      <w:r w:rsidR="004307C4">
        <w:rPr>
          <w:rStyle w:val="FootnoteReference"/>
          <w:rFonts w:asciiTheme="majorBidi" w:hAnsiTheme="majorBidi" w:cstheme="majorBidi"/>
          <w:sz w:val="32"/>
          <w:szCs w:val="32"/>
          <w:lang w:bidi="he-IL"/>
        </w:rPr>
        <w:footnoteReference w:id="3"/>
      </w:r>
      <w:r w:rsidR="004307C4">
        <w:rPr>
          <w:rFonts w:asciiTheme="majorBidi" w:hAnsiTheme="majorBidi" w:cstheme="majorBidi"/>
          <w:sz w:val="32"/>
          <w:szCs w:val="32"/>
          <w:lang w:bidi="he-IL"/>
        </w:rPr>
        <w:t xml:space="preserve"> The 16</w:t>
      </w:r>
      <w:r w:rsidR="004307C4" w:rsidRPr="004307C4">
        <w:rPr>
          <w:rFonts w:asciiTheme="majorBidi" w:hAnsiTheme="majorBidi" w:cstheme="majorBidi"/>
          <w:sz w:val="32"/>
          <w:szCs w:val="32"/>
          <w:vertAlign w:val="superscript"/>
          <w:lang w:bidi="he-IL"/>
        </w:rPr>
        <w:t>th</w:t>
      </w:r>
      <w:r w:rsidR="004307C4">
        <w:rPr>
          <w:rFonts w:asciiTheme="majorBidi" w:hAnsiTheme="majorBidi" w:cstheme="majorBidi"/>
          <w:sz w:val="32"/>
          <w:szCs w:val="32"/>
          <w:lang w:bidi="he-IL"/>
        </w:rPr>
        <w:t xml:space="preserve"> century commentator Ephraim of Luntshitz provides a different take in his book </w:t>
      </w:r>
      <w:r w:rsidR="004307C4">
        <w:rPr>
          <w:rFonts w:asciiTheme="majorBidi" w:hAnsiTheme="majorBidi" w:cstheme="majorBidi"/>
          <w:i/>
          <w:iCs/>
          <w:sz w:val="32"/>
          <w:szCs w:val="32"/>
          <w:lang w:bidi="he-IL"/>
        </w:rPr>
        <w:t>Kli Yakar</w:t>
      </w:r>
      <w:r w:rsidR="004307C4">
        <w:rPr>
          <w:rFonts w:asciiTheme="majorBidi" w:hAnsiTheme="majorBidi" w:cstheme="majorBidi"/>
          <w:sz w:val="32"/>
          <w:szCs w:val="32"/>
          <w:lang w:bidi="he-IL"/>
        </w:rPr>
        <w:t xml:space="preserve">. According to him, Esau’s </w:t>
      </w:r>
      <w:r w:rsidR="004307C4">
        <w:rPr>
          <w:rFonts w:asciiTheme="majorBidi" w:hAnsiTheme="majorBidi" w:cstheme="majorBidi" w:hint="cs"/>
          <w:sz w:val="32"/>
          <w:szCs w:val="32"/>
          <w:rtl/>
          <w:lang w:bidi="he-IL"/>
        </w:rPr>
        <w:t>יש לי רב</w:t>
      </w:r>
      <w:r w:rsidR="004307C4">
        <w:rPr>
          <w:rFonts w:asciiTheme="majorBidi" w:hAnsiTheme="majorBidi" w:cstheme="majorBidi"/>
          <w:sz w:val="32"/>
          <w:szCs w:val="32"/>
          <w:lang w:bidi="he-IL"/>
        </w:rPr>
        <w:t xml:space="preserve"> means that he does not have enough, as while he has a lot, he does not have </w:t>
      </w:r>
      <w:r w:rsidR="004307C4">
        <w:rPr>
          <w:rFonts w:asciiTheme="majorBidi" w:hAnsiTheme="majorBidi" w:cstheme="majorBidi"/>
          <w:b/>
          <w:bCs/>
          <w:sz w:val="32"/>
          <w:szCs w:val="32"/>
          <w:lang w:bidi="he-IL"/>
        </w:rPr>
        <w:t>everything.</w:t>
      </w:r>
      <w:r w:rsidR="004307C4">
        <w:rPr>
          <w:rFonts w:asciiTheme="majorBidi" w:hAnsiTheme="majorBidi" w:cstheme="majorBidi"/>
          <w:sz w:val="32"/>
          <w:szCs w:val="32"/>
          <w:lang w:bidi="he-IL"/>
        </w:rPr>
        <w:t xml:space="preserve"> In contrast, Jacob’s </w:t>
      </w:r>
      <w:r w:rsidR="004307C4">
        <w:rPr>
          <w:rFonts w:asciiTheme="majorBidi" w:hAnsiTheme="majorBidi" w:cstheme="majorBidi" w:hint="cs"/>
          <w:sz w:val="32"/>
          <w:szCs w:val="32"/>
          <w:rtl/>
          <w:lang w:bidi="he-IL"/>
        </w:rPr>
        <w:t>יש לי כל</w:t>
      </w:r>
      <w:r w:rsidR="004307C4">
        <w:rPr>
          <w:rFonts w:asciiTheme="majorBidi" w:hAnsiTheme="majorBidi" w:cstheme="majorBidi"/>
          <w:sz w:val="32"/>
          <w:szCs w:val="32"/>
          <w:lang w:bidi="he-IL"/>
        </w:rPr>
        <w:t xml:space="preserve"> means that he has very little, but he is satisfied with what he has.</w:t>
      </w:r>
      <w:r w:rsidR="009426EC">
        <w:rPr>
          <w:rStyle w:val="FootnoteReference"/>
          <w:rFonts w:asciiTheme="majorBidi" w:hAnsiTheme="majorBidi" w:cstheme="majorBidi"/>
          <w:sz w:val="32"/>
          <w:szCs w:val="32"/>
          <w:lang w:bidi="he-IL"/>
        </w:rPr>
        <w:footnoteReference w:id="4"/>
      </w:r>
    </w:p>
    <w:p w:rsidR="004307C4" w:rsidRDefault="004307C4" w:rsidP="009426E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Both Rashi and </w:t>
      </w:r>
      <w:r w:rsidRPr="004307C4">
        <w:rPr>
          <w:rFonts w:asciiTheme="majorBidi" w:hAnsiTheme="majorBidi" w:cstheme="majorBidi"/>
          <w:i/>
          <w:iCs/>
          <w:sz w:val="32"/>
          <w:szCs w:val="32"/>
          <w:lang w:bidi="he-IL"/>
        </w:rPr>
        <w:t>Kli Yakar</w:t>
      </w:r>
      <w:r>
        <w:rPr>
          <w:rFonts w:asciiTheme="majorBidi" w:hAnsiTheme="majorBidi" w:cstheme="majorBidi"/>
          <w:sz w:val="32"/>
          <w:szCs w:val="32"/>
          <w:lang w:bidi="he-IL"/>
        </w:rPr>
        <w:t xml:space="preserve"> draw inspiration from </w:t>
      </w:r>
      <w:r>
        <w:rPr>
          <w:rFonts w:asciiTheme="majorBidi" w:hAnsiTheme="majorBidi" w:cstheme="majorBidi"/>
          <w:i/>
          <w:iCs/>
          <w:sz w:val="32"/>
          <w:szCs w:val="32"/>
          <w:lang w:bidi="he-IL"/>
        </w:rPr>
        <w:t>Pirkei Avot</w:t>
      </w:r>
      <w:r>
        <w:rPr>
          <w:rFonts w:asciiTheme="majorBidi" w:hAnsiTheme="majorBidi" w:cstheme="majorBidi"/>
          <w:sz w:val="32"/>
          <w:szCs w:val="32"/>
          <w:lang w:bidi="he-IL"/>
        </w:rPr>
        <w:t xml:space="preserve">, better known as the </w:t>
      </w:r>
      <w:r>
        <w:rPr>
          <w:rFonts w:asciiTheme="majorBidi" w:hAnsiTheme="majorBidi" w:cstheme="majorBidi"/>
          <w:i/>
          <w:iCs/>
          <w:sz w:val="32"/>
          <w:szCs w:val="32"/>
          <w:lang w:bidi="he-IL"/>
        </w:rPr>
        <w:t>Ethics of the Fathers.</w:t>
      </w:r>
      <w:r>
        <w:rPr>
          <w:rFonts w:asciiTheme="majorBidi" w:hAnsiTheme="majorBidi" w:cstheme="majorBidi"/>
          <w:sz w:val="32"/>
          <w:szCs w:val="32"/>
          <w:lang w:bidi="he-IL"/>
        </w:rPr>
        <w:t xml:space="preserve"> </w:t>
      </w:r>
      <w:r>
        <w:rPr>
          <w:rFonts w:asciiTheme="majorBidi" w:hAnsiTheme="majorBidi" w:cstheme="majorBidi"/>
          <w:i/>
          <w:iCs/>
          <w:sz w:val="32"/>
          <w:szCs w:val="32"/>
          <w:lang w:bidi="he-IL"/>
        </w:rPr>
        <w:t xml:space="preserve">Pirkei Avot </w:t>
      </w:r>
      <w:r>
        <w:rPr>
          <w:rFonts w:asciiTheme="majorBidi" w:hAnsiTheme="majorBidi" w:cstheme="majorBidi"/>
          <w:sz w:val="32"/>
          <w:szCs w:val="32"/>
          <w:lang w:bidi="he-IL"/>
        </w:rPr>
        <w:t xml:space="preserve">contains numerous pithy aphorisms, one of which is </w:t>
      </w:r>
      <w:r w:rsidR="009426EC">
        <w:rPr>
          <w:rFonts w:asciiTheme="majorBidi" w:hAnsiTheme="majorBidi" w:cstheme="majorBidi" w:hint="cs"/>
          <w:sz w:val="32"/>
          <w:szCs w:val="32"/>
          <w:rtl/>
          <w:lang w:bidi="he-IL"/>
        </w:rPr>
        <w:t>איזהו עשיר? השמח בחלקו</w:t>
      </w:r>
      <w:r w:rsidR="009426EC">
        <w:rPr>
          <w:rFonts w:asciiTheme="majorBidi" w:hAnsiTheme="majorBidi" w:cstheme="majorBidi"/>
          <w:sz w:val="32"/>
          <w:szCs w:val="32"/>
          <w:lang w:bidi="he-IL"/>
        </w:rPr>
        <w:t>-Who is rich? One who is happy with what he or she has.</w:t>
      </w:r>
      <w:r w:rsidR="009426EC">
        <w:rPr>
          <w:rStyle w:val="FootnoteReference"/>
          <w:rFonts w:asciiTheme="majorBidi" w:hAnsiTheme="majorBidi" w:cstheme="majorBidi"/>
          <w:sz w:val="32"/>
          <w:szCs w:val="32"/>
          <w:lang w:bidi="he-IL"/>
        </w:rPr>
        <w:footnoteReference w:id="5"/>
      </w:r>
      <w:r w:rsidR="009426EC">
        <w:rPr>
          <w:rFonts w:asciiTheme="majorBidi" w:hAnsiTheme="majorBidi" w:cstheme="majorBidi"/>
          <w:sz w:val="32"/>
          <w:szCs w:val="32"/>
          <w:lang w:bidi="he-IL"/>
        </w:rPr>
        <w:t xml:space="preserve"> In accordance with </w:t>
      </w:r>
      <w:r w:rsidR="009426EC">
        <w:rPr>
          <w:rFonts w:asciiTheme="majorBidi" w:hAnsiTheme="majorBidi" w:cstheme="majorBidi"/>
          <w:i/>
          <w:iCs/>
          <w:sz w:val="32"/>
          <w:szCs w:val="32"/>
          <w:lang w:bidi="he-IL"/>
        </w:rPr>
        <w:t>Pirkei Avot</w:t>
      </w:r>
      <w:r w:rsidR="009426EC">
        <w:rPr>
          <w:rFonts w:asciiTheme="majorBidi" w:hAnsiTheme="majorBidi" w:cstheme="majorBidi"/>
          <w:sz w:val="32"/>
          <w:szCs w:val="32"/>
          <w:lang w:bidi="he-IL"/>
        </w:rPr>
        <w:t xml:space="preserve">, both Rashi and </w:t>
      </w:r>
      <w:r w:rsidR="009426EC">
        <w:rPr>
          <w:rFonts w:asciiTheme="majorBidi" w:hAnsiTheme="majorBidi" w:cstheme="majorBidi"/>
          <w:i/>
          <w:iCs/>
          <w:sz w:val="32"/>
          <w:szCs w:val="32"/>
          <w:lang w:bidi="he-IL"/>
        </w:rPr>
        <w:t>Kli Yakar</w:t>
      </w:r>
      <w:r w:rsidR="009426EC">
        <w:rPr>
          <w:rFonts w:asciiTheme="majorBidi" w:hAnsiTheme="majorBidi" w:cstheme="majorBidi"/>
          <w:sz w:val="32"/>
          <w:szCs w:val="32"/>
          <w:lang w:bidi="he-IL"/>
        </w:rPr>
        <w:t xml:space="preserve"> see wealth not as economic acquisition but as peace of mind, being satisfied with one’s portion. This does not mean </w:t>
      </w:r>
      <w:r w:rsidR="009426EC">
        <w:rPr>
          <w:rFonts w:asciiTheme="majorBidi" w:hAnsiTheme="majorBidi" w:cstheme="majorBidi"/>
          <w:sz w:val="32"/>
          <w:szCs w:val="32"/>
          <w:lang w:bidi="he-IL"/>
        </w:rPr>
        <w:lastRenderedPageBreak/>
        <w:t>that one should ascribe to poverty or a level of basic subsistence but rather that he or she should not be solely focused on acquiring more money or property.</w:t>
      </w:r>
    </w:p>
    <w:p w:rsidR="009426EC" w:rsidRPr="009426EC" w:rsidRDefault="009426EC" w:rsidP="00630EF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As we approach Hanukkah, which has for better </w:t>
      </w:r>
      <w:r w:rsidR="00630EF6">
        <w:rPr>
          <w:rFonts w:asciiTheme="majorBidi" w:hAnsiTheme="majorBidi" w:cstheme="majorBidi"/>
          <w:sz w:val="32"/>
          <w:szCs w:val="32"/>
          <w:lang w:bidi="he-IL"/>
        </w:rPr>
        <w:t>and for</w:t>
      </w:r>
      <w:r>
        <w:rPr>
          <w:rFonts w:asciiTheme="majorBidi" w:hAnsiTheme="majorBidi" w:cstheme="majorBidi"/>
          <w:sz w:val="32"/>
          <w:szCs w:val="32"/>
          <w:lang w:bidi="he-IL"/>
        </w:rPr>
        <w:t xml:space="preserve"> worse become a gift-giving season, I hope that each of us will take time to think of the gifts that make us rich: our friends, our families, work, health, community and so much else. To be like Jacob and proclaim </w:t>
      </w:r>
      <w:r>
        <w:rPr>
          <w:rFonts w:asciiTheme="majorBidi" w:hAnsiTheme="majorBidi" w:cstheme="majorBidi" w:hint="cs"/>
          <w:sz w:val="32"/>
          <w:szCs w:val="32"/>
          <w:rtl/>
          <w:lang w:bidi="he-IL"/>
        </w:rPr>
        <w:t>יש לי כל</w:t>
      </w:r>
      <w:r>
        <w:rPr>
          <w:rFonts w:asciiTheme="majorBidi" w:hAnsiTheme="majorBidi" w:cstheme="majorBidi"/>
          <w:sz w:val="32"/>
          <w:szCs w:val="32"/>
          <w:lang w:bidi="he-IL"/>
        </w:rPr>
        <w:t xml:space="preserve">, I have everything that I need right in front of me, is very difficult to do in this world which is constantly producing new gadgets </w:t>
      </w:r>
      <w:r w:rsidR="00630EF6">
        <w:rPr>
          <w:rFonts w:asciiTheme="majorBidi" w:hAnsiTheme="majorBidi" w:cstheme="majorBidi"/>
          <w:sz w:val="32"/>
          <w:szCs w:val="32"/>
          <w:lang w:bidi="he-IL"/>
        </w:rPr>
        <w:t>and</w:t>
      </w:r>
      <w:r>
        <w:rPr>
          <w:rFonts w:asciiTheme="majorBidi" w:hAnsiTheme="majorBidi" w:cstheme="majorBidi"/>
          <w:sz w:val="32"/>
          <w:szCs w:val="32"/>
          <w:lang w:bidi="he-IL"/>
        </w:rPr>
        <w:t xml:space="preserve"> gizmos. There are always new excursions to take, new products to buy and new ways to renovate one’s home. On Shabbat especially, when we are commanded to take a step back and revel in all of the blessings that G-d has bestowed upon us, let us proudly state </w:t>
      </w:r>
      <w:r>
        <w:rPr>
          <w:rFonts w:asciiTheme="majorBidi" w:hAnsiTheme="majorBidi" w:cstheme="majorBidi" w:hint="cs"/>
          <w:sz w:val="32"/>
          <w:szCs w:val="32"/>
          <w:rtl/>
          <w:lang w:bidi="he-IL"/>
        </w:rPr>
        <w:t>יש לי כל</w:t>
      </w:r>
      <w:r>
        <w:rPr>
          <w:rFonts w:asciiTheme="majorBidi" w:hAnsiTheme="majorBidi" w:cstheme="majorBidi"/>
          <w:sz w:val="32"/>
          <w:szCs w:val="32"/>
          <w:lang w:bidi="he-IL"/>
        </w:rPr>
        <w:t xml:space="preserve">, we have all of the gifts that we need. </w:t>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 xml:space="preserve">May we appreciate all the gifts that have been bestowed upon us on the individual, familial and communal levels, including </w:t>
      </w:r>
      <w:bookmarkStart w:id="0" w:name="_GoBack"/>
      <w:bookmarkEnd w:id="0"/>
      <w:r>
        <w:rPr>
          <w:rFonts w:asciiTheme="majorBidi" w:hAnsiTheme="majorBidi" w:cstheme="majorBidi"/>
          <w:sz w:val="32"/>
          <w:szCs w:val="32"/>
          <w:lang w:bidi="he-IL"/>
        </w:rPr>
        <w:t xml:space="preserve">our role in being part of the JJC family, and may it lead us to </w:t>
      </w:r>
      <w:r>
        <w:rPr>
          <w:rFonts w:asciiTheme="majorBidi" w:hAnsiTheme="majorBidi" w:cstheme="majorBidi"/>
          <w:sz w:val="32"/>
          <w:szCs w:val="32"/>
          <w:lang w:bidi="he-IL"/>
        </w:rPr>
        <w:lastRenderedPageBreak/>
        <w:t>feel the peace and inner well-being communicated by our patriarch Jacob.</w:t>
      </w:r>
    </w:p>
    <w:sectPr w:rsidR="009426EC" w:rsidRPr="009426E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D28" w:rsidRDefault="00147D28" w:rsidP="004307C4">
      <w:pPr>
        <w:spacing w:after="0" w:line="240" w:lineRule="auto"/>
      </w:pPr>
      <w:r>
        <w:separator/>
      </w:r>
    </w:p>
  </w:endnote>
  <w:endnote w:type="continuationSeparator" w:id="0">
    <w:p w:rsidR="00147D28" w:rsidRDefault="00147D28" w:rsidP="00430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2025322"/>
      <w:docPartObj>
        <w:docPartGallery w:val="Page Numbers (Bottom of Page)"/>
        <w:docPartUnique/>
      </w:docPartObj>
    </w:sdtPr>
    <w:sdtEndPr>
      <w:rPr>
        <w:noProof/>
      </w:rPr>
    </w:sdtEndPr>
    <w:sdtContent>
      <w:p w:rsidR="004307C4" w:rsidRDefault="004307C4">
        <w:pPr>
          <w:pStyle w:val="Footer"/>
          <w:jc w:val="right"/>
        </w:pPr>
        <w:r>
          <w:fldChar w:fldCharType="begin"/>
        </w:r>
        <w:r>
          <w:instrText xml:space="preserve"> PAGE   \* MERGEFORMAT </w:instrText>
        </w:r>
        <w:r>
          <w:fldChar w:fldCharType="separate"/>
        </w:r>
        <w:r w:rsidR="00630EF6">
          <w:rPr>
            <w:noProof/>
          </w:rPr>
          <w:t>4</w:t>
        </w:r>
        <w:r>
          <w:rPr>
            <w:noProof/>
          </w:rPr>
          <w:fldChar w:fldCharType="end"/>
        </w:r>
      </w:p>
    </w:sdtContent>
  </w:sdt>
  <w:p w:rsidR="004307C4" w:rsidRDefault="00430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D28" w:rsidRDefault="00147D28" w:rsidP="004307C4">
      <w:pPr>
        <w:spacing w:after="0" w:line="240" w:lineRule="auto"/>
      </w:pPr>
      <w:r>
        <w:separator/>
      </w:r>
    </w:p>
  </w:footnote>
  <w:footnote w:type="continuationSeparator" w:id="0">
    <w:p w:rsidR="00147D28" w:rsidRDefault="00147D28" w:rsidP="004307C4">
      <w:pPr>
        <w:spacing w:after="0" w:line="240" w:lineRule="auto"/>
      </w:pPr>
      <w:r>
        <w:continuationSeparator/>
      </w:r>
    </w:p>
  </w:footnote>
  <w:footnote w:id="1">
    <w:p w:rsidR="004307C4" w:rsidRPr="009426EC" w:rsidRDefault="004307C4" w:rsidP="004307C4">
      <w:pPr>
        <w:pStyle w:val="FootnoteText"/>
        <w:ind w:firstLine="720"/>
        <w:rPr>
          <w:rFonts w:asciiTheme="majorBidi" w:hAnsiTheme="majorBidi" w:cstheme="majorBidi"/>
        </w:rPr>
      </w:pPr>
      <w:r w:rsidRPr="009426EC">
        <w:rPr>
          <w:rStyle w:val="FootnoteReference"/>
          <w:rFonts w:asciiTheme="majorBidi" w:hAnsiTheme="majorBidi" w:cstheme="majorBidi"/>
        </w:rPr>
        <w:footnoteRef/>
      </w:r>
      <w:r w:rsidRPr="009426EC">
        <w:rPr>
          <w:rFonts w:asciiTheme="majorBidi" w:hAnsiTheme="majorBidi" w:cstheme="majorBidi"/>
        </w:rPr>
        <w:t xml:space="preserve"> Genesis 33:9</w:t>
      </w:r>
    </w:p>
  </w:footnote>
  <w:footnote w:id="2">
    <w:p w:rsidR="004307C4" w:rsidRDefault="004307C4" w:rsidP="004307C4">
      <w:pPr>
        <w:pStyle w:val="FootnoteText"/>
        <w:ind w:firstLine="720"/>
      </w:pPr>
      <w:r w:rsidRPr="009426EC">
        <w:rPr>
          <w:rStyle w:val="FootnoteReference"/>
          <w:rFonts w:asciiTheme="majorBidi" w:hAnsiTheme="majorBidi" w:cstheme="majorBidi"/>
        </w:rPr>
        <w:footnoteRef/>
      </w:r>
      <w:r w:rsidRPr="009426EC">
        <w:rPr>
          <w:rFonts w:asciiTheme="majorBidi" w:hAnsiTheme="majorBidi" w:cstheme="majorBidi"/>
        </w:rPr>
        <w:t xml:space="preserve"> Genesis 33:11</w:t>
      </w:r>
    </w:p>
  </w:footnote>
  <w:footnote w:id="3">
    <w:p w:rsidR="004307C4" w:rsidRPr="009426EC" w:rsidRDefault="004307C4" w:rsidP="004307C4">
      <w:pPr>
        <w:pStyle w:val="FootnoteText"/>
        <w:ind w:firstLine="720"/>
        <w:rPr>
          <w:rFonts w:asciiTheme="majorBidi" w:hAnsiTheme="majorBidi" w:cstheme="majorBidi"/>
          <w:rtl/>
          <w:lang w:bidi="he-IL"/>
        </w:rPr>
      </w:pPr>
      <w:r w:rsidRPr="009426EC">
        <w:rPr>
          <w:rStyle w:val="FootnoteReference"/>
          <w:rFonts w:asciiTheme="majorBidi" w:hAnsiTheme="majorBidi" w:cstheme="majorBidi"/>
        </w:rPr>
        <w:footnoteRef/>
      </w:r>
      <w:r w:rsidRPr="009426EC">
        <w:rPr>
          <w:rFonts w:asciiTheme="majorBidi" w:hAnsiTheme="majorBidi" w:cstheme="majorBidi"/>
        </w:rPr>
        <w:t xml:space="preserve"> </w:t>
      </w:r>
      <w:r w:rsidR="009426EC" w:rsidRPr="009426EC">
        <w:rPr>
          <w:rFonts w:asciiTheme="majorBidi" w:hAnsiTheme="majorBidi" w:cstheme="majorBidi"/>
        </w:rPr>
        <w:t xml:space="preserve">Rashi on Genesis 33:11 </w:t>
      </w:r>
      <w:r w:rsidR="009426EC" w:rsidRPr="009426EC">
        <w:rPr>
          <w:rFonts w:asciiTheme="majorBidi" w:hAnsiTheme="majorBidi" w:cstheme="majorBidi"/>
          <w:rtl/>
          <w:lang w:bidi="he-IL"/>
        </w:rPr>
        <w:t>ד"ה יש לי כל</w:t>
      </w:r>
    </w:p>
  </w:footnote>
  <w:footnote w:id="4">
    <w:p w:rsidR="009426EC" w:rsidRPr="009426EC" w:rsidRDefault="009426EC" w:rsidP="009426EC">
      <w:pPr>
        <w:pStyle w:val="FootnoteText"/>
        <w:ind w:firstLine="720"/>
        <w:rPr>
          <w:rFonts w:asciiTheme="majorBidi" w:hAnsiTheme="majorBidi" w:cstheme="majorBidi"/>
          <w:rtl/>
          <w:lang w:bidi="he-IL"/>
        </w:rPr>
      </w:pPr>
      <w:r w:rsidRPr="009426EC">
        <w:rPr>
          <w:rStyle w:val="FootnoteReference"/>
          <w:rFonts w:asciiTheme="majorBidi" w:hAnsiTheme="majorBidi" w:cstheme="majorBidi"/>
        </w:rPr>
        <w:footnoteRef/>
      </w:r>
      <w:r w:rsidRPr="009426EC">
        <w:rPr>
          <w:rFonts w:asciiTheme="majorBidi" w:hAnsiTheme="majorBidi" w:cstheme="majorBidi"/>
        </w:rPr>
        <w:t xml:space="preserve"> K</w:t>
      </w:r>
      <w:r w:rsidRPr="009426EC">
        <w:rPr>
          <w:rFonts w:asciiTheme="majorBidi" w:hAnsiTheme="majorBidi" w:cstheme="majorBidi"/>
          <w:lang w:bidi="he-IL"/>
        </w:rPr>
        <w:t xml:space="preserve">li Yakar on Genesis 33:9 </w:t>
      </w:r>
      <w:r w:rsidRPr="009426EC">
        <w:rPr>
          <w:rFonts w:asciiTheme="majorBidi" w:hAnsiTheme="majorBidi" w:cstheme="majorBidi"/>
          <w:rtl/>
          <w:lang w:bidi="he-IL"/>
        </w:rPr>
        <w:t>ד"ה ויאמר עשו יש לי רב</w:t>
      </w:r>
    </w:p>
  </w:footnote>
  <w:footnote w:id="5">
    <w:p w:rsidR="009426EC" w:rsidRDefault="009426EC" w:rsidP="009426EC">
      <w:pPr>
        <w:pStyle w:val="FootnoteText"/>
        <w:ind w:firstLine="720"/>
      </w:pPr>
      <w:r w:rsidRPr="009426EC">
        <w:rPr>
          <w:rStyle w:val="FootnoteReference"/>
          <w:rFonts w:asciiTheme="majorBidi" w:hAnsiTheme="majorBidi" w:cstheme="majorBidi"/>
        </w:rPr>
        <w:footnoteRef/>
      </w:r>
      <w:r w:rsidRPr="009426EC">
        <w:rPr>
          <w:rFonts w:asciiTheme="majorBidi" w:hAnsiTheme="majorBidi" w:cstheme="majorBidi"/>
        </w:rPr>
        <w:t xml:space="preserve"> Pirkei Avot 4:1</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A6F"/>
    <w:rsid w:val="00034DED"/>
    <w:rsid w:val="00147D28"/>
    <w:rsid w:val="001B4999"/>
    <w:rsid w:val="004307C4"/>
    <w:rsid w:val="00630EF6"/>
    <w:rsid w:val="009426EC"/>
    <w:rsid w:val="009D2A6F"/>
    <w:rsid w:val="00B15253"/>
    <w:rsid w:val="00D03F1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307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07C4"/>
    <w:rPr>
      <w:sz w:val="20"/>
      <w:szCs w:val="20"/>
    </w:rPr>
  </w:style>
  <w:style w:type="character" w:styleId="FootnoteReference">
    <w:name w:val="footnote reference"/>
    <w:basedOn w:val="DefaultParagraphFont"/>
    <w:uiPriority w:val="99"/>
    <w:semiHidden/>
    <w:unhideWhenUsed/>
    <w:rsid w:val="004307C4"/>
    <w:rPr>
      <w:vertAlign w:val="superscript"/>
    </w:rPr>
  </w:style>
  <w:style w:type="paragraph" w:styleId="Header">
    <w:name w:val="header"/>
    <w:basedOn w:val="Normal"/>
    <w:link w:val="HeaderChar"/>
    <w:uiPriority w:val="99"/>
    <w:unhideWhenUsed/>
    <w:rsid w:val="004307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07C4"/>
  </w:style>
  <w:style w:type="paragraph" w:styleId="Footer">
    <w:name w:val="footer"/>
    <w:basedOn w:val="Normal"/>
    <w:link w:val="FooterChar"/>
    <w:uiPriority w:val="99"/>
    <w:unhideWhenUsed/>
    <w:rsid w:val="004307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07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307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07C4"/>
    <w:rPr>
      <w:sz w:val="20"/>
      <w:szCs w:val="20"/>
    </w:rPr>
  </w:style>
  <w:style w:type="character" w:styleId="FootnoteReference">
    <w:name w:val="footnote reference"/>
    <w:basedOn w:val="DefaultParagraphFont"/>
    <w:uiPriority w:val="99"/>
    <w:semiHidden/>
    <w:unhideWhenUsed/>
    <w:rsid w:val="004307C4"/>
    <w:rPr>
      <w:vertAlign w:val="superscript"/>
    </w:rPr>
  </w:style>
  <w:style w:type="paragraph" w:styleId="Header">
    <w:name w:val="header"/>
    <w:basedOn w:val="Normal"/>
    <w:link w:val="HeaderChar"/>
    <w:uiPriority w:val="99"/>
    <w:unhideWhenUsed/>
    <w:rsid w:val="004307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07C4"/>
  </w:style>
  <w:style w:type="paragraph" w:styleId="Footer">
    <w:name w:val="footer"/>
    <w:basedOn w:val="Normal"/>
    <w:link w:val="FooterChar"/>
    <w:uiPriority w:val="99"/>
    <w:unhideWhenUsed/>
    <w:rsid w:val="004307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0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79E32-BF46-4FA9-A4A6-04D4573C5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cp:lastPrinted>2016-12-14T20:02:00Z</cp:lastPrinted>
  <dcterms:created xsi:type="dcterms:W3CDTF">2016-12-13T21:43:00Z</dcterms:created>
  <dcterms:modified xsi:type="dcterms:W3CDTF">2016-12-17T23:57:00Z</dcterms:modified>
</cp:coreProperties>
</file>