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3BD9" w:rsidRDefault="00414B81" w:rsidP="00414B81">
      <w:pPr>
        <w:jc w:val="center"/>
        <w:rPr>
          <w:rFonts w:asciiTheme="majorBidi" w:hAnsiTheme="majorBidi" w:cstheme="majorBidi"/>
          <w:sz w:val="48"/>
          <w:szCs w:val="48"/>
          <w:lang w:bidi="he-IL"/>
        </w:rPr>
      </w:pPr>
      <w:r w:rsidRPr="00414B81">
        <w:rPr>
          <w:rFonts w:asciiTheme="majorBidi" w:hAnsiTheme="majorBidi" w:cstheme="majorBidi"/>
          <w:sz w:val="48"/>
          <w:szCs w:val="48"/>
          <w:lang w:bidi="he-IL"/>
        </w:rPr>
        <w:t>Moses and Drugs</w:t>
      </w:r>
    </w:p>
    <w:p w:rsidR="00414B81" w:rsidRDefault="00414B81" w:rsidP="00E26793">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We chose today for Pharmacist Shabbat in order to ensure that Bill Kassimir</w:t>
      </w:r>
      <w:r w:rsidR="00E26793">
        <w:rPr>
          <w:rFonts w:asciiTheme="majorBidi" w:hAnsiTheme="majorBidi" w:cstheme="majorBidi"/>
          <w:sz w:val="32"/>
          <w:szCs w:val="32"/>
          <w:lang w:bidi="he-IL"/>
        </w:rPr>
        <w:t xml:space="preserve"> and Arny Wishner</w:t>
      </w:r>
      <w:r>
        <w:rPr>
          <w:rFonts w:asciiTheme="majorBidi" w:hAnsiTheme="majorBidi" w:cstheme="majorBidi"/>
          <w:sz w:val="32"/>
          <w:szCs w:val="32"/>
          <w:lang w:bidi="he-IL"/>
        </w:rPr>
        <w:t>, pharmacist</w:t>
      </w:r>
      <w:r w:rsidR="00E26793">
        <w:rPr>
          <w:rFonts w:asciiTheme="majorBidi" w:hAnsiTheme="majorBidi" w:cstheme="majorBidi"/>
          <w:sz w:val="32"/>
          <w:szCs w:val="32"/>
          <w:lang w:bidi="he-IL"/>
        </w:rPr>
        <w:t>s</w:t>
      </w:r>
      <w:r>
        <w:rPr>
          <w:rFonts w:asciiTheme="majorBidi" w:hAnsiTheme="majorBidi" w:cstheme="majorBidi"/>
          <w:sz w:val="32"/>
          <w:szCs w:val="32"/>
          <w:lang w:bidi="he-IL"/>
        </w:rPr>
        <w:t xml:space="preserve"> by trade who does so much for our congrega</w:t>
      </w:r>
      <w:r w:rsidR="00E26793">
        <w:rPr>
          <w:rFonts w:asciiTheme="majorBidi" w:hAnsiTheme="majorBidi" w:cstheme="majorBidi"/>
          <w:sz w:val="32"/>
          <w:szCs w:val="32"/>
          <w:lang w:bidi="he-IL"/>
        </w:rPr>
        <w:t>tion, could be back from vacation</w:t>
      </w:r>
      <w:r>
        <w:rPr>
          <w:rFonts w:asciiTheme="majorBidi" w:hAnsiTheme="majorBidi" w:cstheme="majorBidi"/>
          <w:sz w:val="32"/>
          <w:szCs w:val="32"/>
          <w:lang w:bidi="he-IL"/>
        </w:rPr>
        <w:t xml:space="preserve">. </w:t>
      </w:r>
      <w:r w:rsidR="00E26793">
        <w:rPr>
          <w:rFonts w:asciiTheme="majorBidi" w:hAnsiTheme="majorBidi" w:cstheme="majorBidi"/>
          <w:sz w:val="32"/>
          <w:szCs w:val="32"/>
          <w:lang w:bidi="he-IL"/>
        </w:rPr>
        <w:t>We are also celebrating the 100</w:t>
      </w:r>
      <w:r w:rsidR="00E26793" w:rsidRPr="00E26793">
        <w:rPr>
          <w:rFonts w:asciiTheme="majorBidi" w:hAnsiTheme="majorBidi" w:cstheme="majorBidi"/>
          <w:sz w:val="32"/>
          <w:szCs w:val="32"/>
          <w:vertAlign w:val="superscript"/>
          <w:lang w:bidi="he-IL"/>
        </w:rPr>
        <w:t>th</w:t>
      </w:r>
      <w:r w:rsidR="00E26793">
        <w:rPr>
          <w:rFonts w:asciiTheme="majorBidi" w:hAnsiTheme="majorBidi" w:cstheme="majorBidi"/>
          <w:sz w:val="32"/>
          <w:szCs w:val="32"/>
          <w:lang w:bidi="he-IL"/>
        </w:rPr>
        <w:t xml:space="preserve"> birthday of the father-in-law of a pharmacist, Max Fontak, so it is a very fitting Shabbat to honor our pharmacists. </w:t>
      </w:r>
      <w:r>
        <w:rPr>
          <w:rFonts w:asciiTheme="majorBidi" w:hAnsiTheme="majorBidi" w:cstheme="majorBidi"/>
          <w:sz w:val="32"/>
          <w:szCs w:val="32"/>
          <w:lang w:bidi="he-IL"/>
        </w:rPr>
        <w:t>However, I want to take you back to two weeks ago when we read Parshat Ki Tisa, as there’s an interesting reference found by Rena Klein. In the middle of the portion</w:t>
      </w:r>
      <w:r w:rsidR="00E26793">
        <w:rPr>
          <w:rFonts w:asciiTheme="majorBidi" w:hAnsiTheme="majorBidi" w:cstheme="majorBidi"/>
          <w:sz w:val="32"/>
          <w:szCs w:val="32"/>
          <w:lang w:bidi="he-IL"/>
        </w:rPr>
        <w:t xml:space="preserve">, we see </w:t>
      </w:r>
      <w:r>
        <w:rPr>
          <w:rFonts w:asciiTheme="majorBidi" w:hAnsiTheme="majorBidi" w:cstheme="majorBidi" w:hint="cs"/>
          <w:sz w:val="32"/>
          <w:szCs w:val="32"/>
          <w:rtl/>
          <w:lang w:bidi="he-IL"/>
        </w:rPr>
        <w:t>ויאמר ה אל משה: קח לך סמים</w:t>
      </w:r>
      <w:r>
        <w:rPr>
          <w:rFonts w:asciiTheme="majorBidi" w:hAnsiTheme="majorBidi" w:cstheme="majorBidi"/>
          <w:sz w:val="32"/>
          <w:szCs w:val="32"/>
          <w:lang w:bidi="he-IL"/>
        </w:rPr>
        <w:t>, “G-d said to Moses ‘take for yourself herbs,”</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and then it lists four herbs (Stacte, onycha, galbanum and frankincense). </w:t>
      </w:r>
      <w:r w:rsidR="00B4656C">
        <w:rPr>
          <w:rFonts w:asciiTheme="majorBidi" w:hAnsiTheme="majorBidi" w:cstheme="majorBidi"/>
          <w:sz w:val="32"/>
          <w:szCs w:val="32"/>
          <w:lang w:bidi="he-IL"/>
        </w:rPr>
        <w:t xml:space="preserve">It goes on to say </w:t>
      </w:r>
      <w:r w:rsidR="00B4656C">
        <w:rPr>
          <w:rFonts w:asciiTheme="majorBidi" w:hAnsiTheme="majorBidi" w:cstheme="majorBidi" w:hint="cs"/>
          <w:sz w:val="32"/>
          <w:szCs w:val="32"/>
          <w:rtl/>
          <w:lang w:bidi="he-IL"/>
        </w:rPr>
        <w:t>רקח מעשה רקח</w:t>
      </w:r>
      <w:r w:rsidR="00B4656C">
        <w:rPr>
          <w:rFonts w:asciiTheme="majorBidi" w:hAnsiTheme="majorBidi" w:cstheme="majorBidi"/>
          <w:sz w:val="32"/>
          <w:szCs w:val="32"/>
          <w:lang w:bidi="he-IL"/>
        </w:rPr>
        <w:t>, “this is the work of a pharmacist.”</w:t>
      </w:r>
      <w:r w:rsidR="00B4656C">
        <w:rPr>
          <w:rStyle w:val="FootnoteReference"/>
          <w:rFonts w:asciiTheme="majorBidi" w:hAnsiTheme="majorBidi" w:cstheme="majorBidi"/>
          <w:sz w:val="32"/>
          <w:szCs w:val="32"/>
          <w:lang w:bidi="he-IL"/>
        </w:rPr>
        <w:footnoteReference w:id="2"/>
      </w:r>
      <w:r w:rsidR="00B4656C">
        <w:rPr>
          <w:rFonts w:asciiTheme="majorBidi" w:hAnsiTheme="majorBidi" w:cstheme="majorBidi"/>
          <w:sz w:val="32"/>
          <w:szCs w:val="32"/>
          <w:lang w:bidi="he-IL"/>
        </w:rPr>
        <w:t xml:space="preserve"> </w:t>
      </w:r>
      <w:r>
        <w:rPr>
          <w:rFonts w:asciiTheme="majorBidi" w:hAnsiTheme="majorBidi" w:cstheme="majorBidi"/>
          <w:sz w:val="32"/>
          <w:szCs w:val="32"/>
          <w:lang w:bidi="he-IL"/>
        </w:rPr>
        <w:t xml:space="preserve">The herbs are being used to make incense which will be put in front of the Tent of Meeting. In Modern Hebrew, </w:t>
      </w:r>
      <w:r>
        <w:rPr>
          <w:rFonts w:asciiTheme="majorBidi" w:hAnsiTheme="majorBidi" w:cstheme="majorBidi" w:hint="cs"/>
          <w:sz w:val="32"/>
          <w:szCs w:val="32"/>
          <w:rtl/>
          <w:lang w:bidi="he-IL"/>
        </w:rPr>
        <w:t>סמים</w:t>
      </w:r>
      <w:r>
        <w:rPr>
          <w:rFonts w:asciiTheme="majorBidi" w:hAnsiTheme="majorBidi" w:cstheme="majorBidi"/>
          <w:sz w:val="32"/>
          <w:szCs w:val="32"/>
          <w:lang w:bidi="he-IL"/>
        </w:rPr>
        <w:t xml:space="preserve"> is the word for drugs, indicating that Moses was in fact an early pharmacist. He had to figure out the proper concoction of these herbs to </w:t>
      </w:r>
      <w:r>
        <w:rPr>
          <w:rFonts w:asciiTheme="majorBidi" w:hAnsiTheme="majorBidi" w:cstheme="majorBidi"/>
          <w:sz w:val="32"/>
          <w:szCs w:val="32"/>
          <w:lang w:bidi="he-IL"/>
        </w:rPr>
        <w:lastRenderedPageBreak/>
        <w:t xml:space="preserve">make </w:t>
      </w:r>
      <w:r w:rsidR="00CB4258">
        <w:rPr>
          <w:rFonts w:asciiTheme="majorBidi" w:hAnsiTheme="majorBidi" w:cstheme="majorBidi"/>
          <w:sz w:val="32"/>
          <w:szCs w:val="32"/>
          <w:lang w:bidi="he-IL"/>
        </w:rPr>
        <w:t>potent</w:t>
      </w:r>
      <w:r>
        <w:rPr>
          <w:rFonts w:asciiTheme="majorBidi" w:hAnsiTheme="majorBidi" w:cstheme="majorBidi"/>
          <w:sz w:val="32"/>
          <w:szCs w:val="32"/>
          <w:lang w:bidi="he-IL"/>
        </w:rPr>
        <w:t xml:space="preserve"> incense to burn before G-d. Furthermore, this incense could only be used before G-d, not for </w:t>
      </w:r>
      <w:r w:rsidR="00E26793">
        <w:rPr>
          <w:rFonts w:asciiTheme="majorBidi" w:hAnsiTheme="majorBidi" w:cstheme="majorBidi"/>
          <w:sz w:val="32"/>
          <w:szCs w:val="32"/>
          <w:lang w:bidi="he-IL"/>
        </w:rPr>
        <w:t>Israel’s</w:t>
      </w:r>
      <w:r>
        <w:rPr>
          <w:rFonts w:asciiTheme="majorBidi" w:hAnsiTheme="majorBidi" w:cstheme="majorBidi"/>
          <w:sz w:val="32"/>
          <w:szCs w:val="32"/>
          <w:lang w:bidi="he-IL"/>
        </w:rPr>
        <w:t xml:space="preserve"> own personal use.</w:t>
      </w:r>
      <w:r>
        <w:rPr>
          <w:rStyle w:val="FootnoteReference"/>
          <w:rFonts w:asciiTheme="majorBidi" w:hAnsiTheme="majorBidi" w:cstheme="majorBidi"/>
          <w:sz w:val="32"/>
          <w:szCs w:val="32"/>
          <w:lang w:bidi="he-IL"/>
        </w:rPr>
        <w:footnoteReference w:id="3"/>
      </w:r>
    </w:p>
    <w:p w:rsidR="00CB4258" w:rsidRPr="00C6543C" w:rsidRDefault="00414B81" w:rsidP="00E26793">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Why would the incense used be so important? After all, Parshat Ki Tisa is not the only place in which it is mentioned</w:t>
      </w:r>
      <w:r w:rsidR="00B4656C">
        <w:rPr>
          <w:rFonts w:asciiTheme="majorBidi" w:hAnsiTheme="majorBidi" w:cstheme="majorBidi"/>
          <w:sz w:val="32"/>
          <w:szCs w:val="32"/>
          <w:lang w:bidi="he-IL"/>
        </w:rPr>
        <w:t>. At the end of Eyn Keloheinu</w:t>
      </w:r>
      <w:r w:rsidR="00E26793">
        <w:rPr>
          <w:rFonts w:asciiTheme="majorBidi" w:hAnsiTheme="majorBidi" w:cstheme="majorBidi"/>
          <w:sz w:val="32"/>
          <w:szCs w:val="32"/>
          <w:lang w:bidi="he-IL"/>
        </w:rPr>
        <w:t>,</w:t>
      </w:r>
      <w:r w:rsidR="00B4656C">
        <w:rPr>
          <w:rFonts w:asciiTheme="majorBidi" w:hAnsiTheme="majorBidi" w:cstheme="majorBidi"/>
          <w:sz w:val="32"/>
          <w:szCs w:val="32"/>
          <w:lang w:bidi="he-IL"/>
        </w:rPr>
        <w:t xml:space="preserve"> we have a line which says </w:t>
      </w:r>
      <w:r w:rsidR="00B4656C">
        <w:rPr>
          <w:rFonts w:asciiTheme="majorBidi" w:hAnsiTheme="majorBidi" w:cstheme="majorBidi" w:hint="cs"/>
          <w:sz w:val="32"/>
          <w:szCs w:val="32"/>
          <w:rtl/>
          <w:lang w:bidi="he-IL"/>
        </w:rPr>
        <w:t>אתה הוא שהקטירו אבותנו לפניך את קטרת הסמים</w:t>
      </w:r>
      <w:r w:rsidR="00B4656C">
        <w:rPr>
          <w:rFonts w:asciiTheme="majorBidi" w:hAnsiTheme="majorBidi" w:cstheme="majorBidi"/>
          <w:sz w:val="32"/>
          <w:szCs w:val="32"/>
          <w:lang w:bidi="he-IL"/>
        </w:rPr>
        <w:t xml:space="preserve">, “You have instructed our ancestors in the making of incense.” Orthodox Siddurim then have a section called </w:t>
      </w:r>
      <w:r w:rsidR="00B4656C">
        <w:rPr>
          <w:rFonts w:asciiTheme="majorBidi" w:hAnsiTheme="majorBidi" w:cstheme="majorBidi" w:hint="cs"/>
          <w:sz w:val="32"/>
          <w:szCs w:val="32"/>
          <w:rtl/>
          <w:lang w:bidi="he-IL"/>
        </w:rPr>
        <w:t>פטום הקטורת</w:t>
      </w:r>
      <w:r w:rsidR="00B4656C">
        <w:rPr>
          <w:rFonts w:asciiTheme="majorBidi" w:hAnsiTheme="majorBidi" w:cstheme="majorBidi"/>
          <w:sz w:val="32"/>
          <w:szCs w:val="32"/>
          <w:lang w:bidi="he-IL"/>
        </w:rPr>
        <w:t xml:space="preserve"> </w:t>
      </w:r>
      <w:r w:rsidR="00E26793">
        <w:rPr>
          <w:rFonts w:asciiTheme="majorBidi" w:hAnsiTheme="majorBidi" w:cstheme="majorBidi"/>
          <w:sz w:val="32"/>
          <w:szCs w:val="32"/>
          <w:lang w:bidi="he-IL"/>
        </w:rPr>
        <w:t>(</w:t>
      </w:r>
      <w:r w:rsidR="00E26793" w:rsidRPr="00E26793">
        <w:rPr>
          <w:rFonts w:asciiTheme="majorBidi" w:hAnsiTheme="majorBidi" w:cstheme="majorBidi"/>
          <w:i/>
          <w:iCs/>
          <w:sz w:val="32"/>
          <w:szCs w:val="32"/>
          <w:lang w:bidi="he-IL"/>
        </w:rPr>
        <w:t>pitum haketoret</w:t>
      </w:r>
      <w:r w:rsidR="00E26793">
        <w:rPr>
          <w:rFonts w:asciiTheme="majorBidi" w:hAnsiTheme="majorBidi" w:cstheme="majorBidi"/>
          <w:sz w:val="32"/>
          <w:szCs w:val="32"/>
          <w:lang w:bidi="he-IL"/>
        </w:rPr>
        <w:t xml:space="preserve">) </w:t>
      </w:r>
      <w:r w:rsidR="00B4656C">
        <w:rPr>
          <w:rFonts w:asciiTheme="majorBidi" w:hAnsiTheme="majorBidi" w:cstheme="majorBidi"/>
          <w:sz w:val="32"/>
          <w:szCs w:val="32"/>
          <w:lang w:bidi="he-IL"/>
        </w:rPr>
        <w:t>from Mishnah Keritut,</w:t>
      </w:r>
      <w:r w:rsidR="00C6543C">
        <w:rPr>
          <w:rStyle w:val="FootnoteReference"/>
          <w:rFonts w:asciiTheme="majorBidi" w:hAnsiTheme="majorBidi" w:cstheme="majorBidi"/>
          <w:sz w:val="32"/>
          <w:szCs w:val="32"/>
          <w:lang w:bidi="he-IL"/>
        </w:rPr>
        <w:footnoteReference w:id="4"/>
      </w:r>
      <w:r w:rsidR="00B4656C">
        <w:rPr>
          <w:rFonts w:asciiTheme="majorBidi" w:hAnsiTheme="majorBidi" w:cstheme="majorBidi"/>
          <w:sz w:val="32"/>
          <w:szCs w:val="32"/>
          <w:lang w:bidi="he-IL"/>
        </w:rPr>
        <w:t xml:space="preserve"> listing </w:t>
      </w:r>
      <w:r w:rsidR="00C6543C">
        <w:rPr>
          <w:rFonts w:asciiTheme="majorBidi" w:hAnsiTheme="majorBidi" w:cstheme="majorBidi"/>
          <w:sz w:val="32"/>
          <w:szCs w:val="32"/>
          <w:lang w:bidi="he-IL"/>
        </w:rPr>
        <w:t>eleven types of</w:t>
      </w:r>
      <w:r w:rsidR="00B4656C">
        <w:rPr>
          <w:rFonts w:asciiTheme="majorBidi" w:hAnsiTheme="majorBidi" w:cstheme="majorBidi"/>
          <w:sz w:val="32"/>
          <w:szCs w:val="32"/>
          <w:lang w:bidi="he-IL"/>
        </w:rPr>
        <w:t xml:space="preserve"> spices </w:t>
      </w:r>
      <w:r w:rsidR="00C6543C">
        <w:rPr>
          <w:rFonts w:asciiTheme="majorBidi" w:hAnsiTheme="majorBidi" w:cstheme="majorBidi"/>
          <w:sz w:val="32"/>
          <w:szCs w:val="32"/>
          <w:lang w:bidi="he-IL"/>
        </w:rPr>
        <w:t>and other substances, along with t</w:t>
      </w:r>
      <w:r w:rsidR="00B4656C">
        <w:rPr>
          <w:rFonts w:asciiTheme="majorBidi" w:hAnsiTheme="majorBidi" w:cstheme="majorBidi"/>
          <w:sz w:val="32"/>
          <w:szCs w:val="32"/>
          <w:lang w:bidi="he-IL"/>
        </w:rPr>
        <w:t>heir quantities</w:t>
      </w:r>
      <w:r w:rsidR="00C6543C">
        <w:rPr>
          <w:rFonts w:asciiTheme="majorBidi" w:hAnsiTheme="majorBidi" w:cstheme="majorBidi"/>
          <w:sz w:val="32"/>
          <w:szCs w:val="32"/>
          <w:lang w:bidi="he-IL"/>
        </w:rPr>
        <w:t>,</w:t>
      </w:r>
      <w:r w:rsidR="00B4656C">
        <w:rPr>
          <w:rFonts w:asciiTheme="majorBidi" w:hAnsiTheme="majorBidi" w:cstheme="majorBidi"/>
          <w:sz w:val="32"/>
          <w:szCs w:val="32"/>
          <w:lang w:bidi="he-IL"/>
        </w:rPr>
        <w:t xml:space="preserve"> that go into the making of incense. </w:t>
      </w:r>
      <w:r w:rsidR="00E26793">
        <w:rPr>
          <w:rFonts w:asciiTheme="majorBidi" w:hAnsiTheme="majorBidi" w:cstheme="majorBidi"/>
          <w:sz w:val="32"/>
          <w:szCs w:val="32"/>
          <w:lang w:bidi="he-IL"/>
        </w:rPr>
        <w:t>In reading</w:t>
      </w:r>
      <w:r w:rsidR="00C6543C">
        <w:rPr>
          <w:rFonts w:asciiTheme="majorBidi" w:hAnsiTheme="majorBidi" w:cstheme="majorBidi"/>
          <w:sz w:val="32"/>
          <w:szCs w:val="32"/>
          <w:lang w:bidi="he-IL"/>
        </w:rPr>
        <w:t xml:space="preserve"> this</w:t>
      </w:r>
      <w:r w:rsidR="00E26793">
        <w:rPr>
          <w:rFonts w:asciiTheme="majorBidi" w:hAnsiTheme="majorBidi" w:cstheme="majorBidi"/>
          <w:sz w:val="32"/>
          <w:szCs w:val="32"/>
          <w:lang w:bidi="he-IL"/>
        </w:rPr>
        <w:t>,</w:t>
      </w:r>
      <w:r w:rsidR="00C6543C">
        <w:rPr>
          <w:rFonts w:asciiTheme="majorBidi" w:hAnsiTheme="majorBidi" w:cstheme="majorBidi"/>
          <w:sz w:val="32"/>
          <w:szCs w:val="32"/>
          <w:lang w:bidi="he-IL"/>
        </w:rPr>
        <w:t xml:space="preserve"> we see that the rabbis were aware of mixtures of various herbs and spices in making the incense, so much so that the passage contains the phrase </w:t>
      </w:r>
      <w:r w:rsidR="00C6543C">
        <w:rPr>
          <w:rFonts w:asciiTheme="majorBidi" w:hAnsiTheme="majorBidi" w:cstheme="majorBidi" w:hint="cs"/>
          <w:sz w:val="32"/>
          <w:szCs w:val="32"/>
          <w:rtl/>
          <w:lang w:bidi="he-IL"/>
        </w:rPr>
        <w:t>ואם חסר אחת מכל סמניה חיב מיטה</w:t>
      </w:r>
      <w:r w:rsidR="00C6543C">
        <w:rPr>
          <w:rFonts w:asciiTheme="majorBidi" w:hAnsiTheme="majorBidi" w:cstheme="majorBidi"/>
          <w:sz w:val="32"/>
          <w:szCs w:val="32"/>
          <w:lang w:bidi="he-IL"/>
        </w:rPr>
        <w:t xml:space="preserve">, “if one of the herbs was left out, one was liable for death.” </w:t>
      </w:r>
      <w:r w:rsidR="00CB4258">
        <w:rPr>
          <w:rFonts w:asciiTheme="majorBidi" w:hAnsiTheme="majorBidi" w:cstheme="majorBidi"/>
          <w:sz w:val="32"/>
          <w:szCs w:val="32"/>
          <w:lang w:bidi="he-IL"/>
        </w:rPr>
        <w:t>Every ingredient was of utmost importance.</w:t>
      </w:r>
    </w:p>
    <w:p w:rsidR="00414B81" w:rsidRDefault="00B4656C" w:rsidP="00E26793">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E26793">
        <w:rPr>
          <w:rFonts w:asciiTheme="majorBidi" w:hAnsiTheme="majorBidi" w:cstheme="majorBidi"/>
          <w:sz w:val="32"/>
          <w:szCs w:val="32"/>
          <w:lang w:bidi="he-IL"/>
        </w:rPr>
        <w:t>W</w:t>
      </w:r>
      <w:r>
        <w:rPr>
          <w:rFonts w:asciiTheme="majorBidi" w:hAnsiTheme="majorBidi" w:cstheme="majorBidi"/>
          <w:sz w:val="32"/>
          <w:szCs w:val="32"/>
          <w:lang w:bidi="he-IL"/>
        </w:rPr>
        <w:t>hen we look at Parshat VaYikra</w:t>
      </w:r>
      <w:r w:rsidR="00E26793">
        <w:rPr>
          <w:rFonts w:asciiTheme="majorBidi" w:hAnsiTheme="majorBidi" w:cstheme="majorBidi"/>
          <w:sz w:val="32"/>
          <w:szCs w:val="32"/>
          <w:lang w:bidi="he-IL"/>
        </w:rPr>
        <w:t>, we see</w:t>
      </w:r>
      <w:r>
        <w:rPr>
          <w:rFonts w:asciiTheme="majorBidi" w:hAnsiTheme="majorBidi" w:cstheme="majorBidi"/>
          <w:sz w:val="32"/>
          <w:szCs w:val="32"/>
          <w:lang w:bidi="he-IL"/>
        </w:rPr>
        <w:t xml:space="preserve"> the importance of the incense. Five types of sacrifices are mentioned: Olah, Mincha, Zevah </w:t>
      </w:r>
      <w:r>
        <w:rPr>
          <w:rFonts w:asciiTheme="majorBidi" w:hAnsiTheme="majorBidi" w:cstheme="majorBidi"/>
          <w:sz w:val="32"/>
          <w:szCs w:val="32"/>
          <w:lang w:bidi="he-IL"/>
        </w:rPr>
        <w:lastRenderedPageBreak/>
        <w:t xml:space="preserve">Shlamim, Hatat and Asham. Of those five, four of them are from animals, the exception being the Mincha, or flour, offering. With so many animals being sacrificed on an ongoing basis, the Tabernacle must have stunk, and incense would have been needed to mask the smell. After all sacrifices were supposed to be </w:t>
      </w:r>
      <w:r>
        <w:rPr>
          <w:rFonts w:asciiTheme="majorBidi" w:hAnsiTheme="majorBidi" w:cstheme="majorBidi" w:hint="cs"/>
          <w:sz w:val="32"/>
          <w:szCs w:val="32"/>
          <w:rtl/>
          <w:lang w:bidi="he-IL"/>
        </w:rPr>
        <w:t>ריח ניחוח</w:t>
      </w:r>
      <w:r>
        <w:rPr>
          <w:rFonts w:asciiTheme="majorBidi" w:hAnsiTheme="majorBidi" w:cstheme="majorBidi"/>
          <w:sz w:val="32"/>
          <w:szCs w:val="32"/>
          <w:lang w:bidi="he-IL"/>
        </w:rPr>
        <w:t>, of</w:t>
      </w:r>
      <w:r w:rsidR="00B94EAF">
        <w:rPr>
          <w:rFonts w:asciiTheme="majorBidi" w:hAnsiTheme="majorBidi" w:cstheme="majorBidi"/>
          <w:sz w:val="32"/>
          <w:szCs w:val="32"/>
          <w:lang w:bidi="he-IL"/>
        </w:rPr>
        <w:t xml:space="preserve"> pleasant smell,</w:t>
      </w:r>
      <w:r w:rsidR="00B94EAF">
        <w:rPr>
          <w:rStyle w:val="FootnoteReference"/>
          <w:rFonts w:asciiTheme="majorBidi" w:hAnsiTheme="majorBidi" w:cstheme="majorBidi"/>
          <w:sz w:val="32"/>
          <w:szCs w:val="32"/>
          <w:lang w:bidi="he-IL"/>
        </w:rPr>
        <w:footnoteReference w:id="5"/>
      </w:r>
      <w:r w:rsidR="00B94EAF">
        <w:rPr>
          <w:rFonts w:asciiTheme="majorBidi" w:hAnsiTheme="majorBidi" w:cstheme="majorBidi"/>
          <w:sz w:val="32"/>
          <w:szCs w:val="32"/>
          <w:lang w:bidi="he-IL"/>
        </w:rPr>
        <w:t xml:space="preserve"> and burning entire animals could not have had </w:t>
      </w:r>
      <w:r w:rsidR="00E26793">
        <w:rPr>
          <w:rFonts w:asciiTheme="majorBidi" w:hAnsiTheme="majorBidi" w:cstheme="majorBidi"/>
          <w:sz w:val="32"/>
          <w:szCs w:val="32"/>
          <w:lang w:bidi="he-IL"/>
        </w:rPr>
        <w:t>a good</w:t>
      </w:r>
      <w:r w:rsidR="00B94EAF">
        <w:rPr>
          <w:rFonts w:asciiTheme="majorBidi" w:hAnsiTheme="majorBidi" w:cstheme="majorBidi"/>
          <w:sz w:val="32"/>
          <w:szCs w:val="32"/>
          <w:lang w:bidi="he-IL"/>
        </w:rPr>
        <w:t xml:space="preserve"> smell without help from aromatic substances like incense.</w:t>
      </w:r>
      <w:r w:rsidR="00414B81">
        <w:rPr>
          <w:rFonts w:asciiTheme="majorBidi" w:hAnsiTheme="majorBidi" w:cstheme="majorBidi"/>
          <w:sz w:val="32"/>
          <w:szCs w:val="32"/>
          <w:lang w:bidi="he-IL"/>
        </w:rPr>
        <w:t xml:space="preserve"> </w:t>
      </w:r>
    </w:p>
    <w:p w:rsidR="00CB4258" w:rsidRDefault="00C6543C" w:rsidP="00E26793">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We see the great care that was put into making the incense for the Tabernacle. </w:t>
      </w:r>
      <w:r w:rsidR="00E26793">
        <w:rPr>
          <w:rFonts w:asciiTheme="majorBidi" w:hAnsiTheme="majorBidi" w:cstheme="majorBidi"/>
          <w:sz w:val="32"/>
          <w:szCs w:val="32"/>
          <w:lang w:bidi="he-IL"/>
        </w:rPr>
        <w:t>Similarly, we</w:t>
      </w:r>
      <w:r w:rsidR="00CB4258">
        <w:rPr>
          <w:rFonts w:asciiTheme="majorBidi" w:hAnsiTheme="majorBidi" w:cstheme="majorBidi"/>
          <w:sz w:val="32"/>
          <w:szCs w:val="32"/>
          <w:lang w:bidi="he-IL"/>
        </w:rPr>
        <w:t xml:space="preserve"> know from the work of pharmacists that like the recipe for the incense, precision matters. Everything must appear in exactly the right quantity, as even the most minute error of milligrams can have a disastrous effect. The attention to detail both of pharmacists today and of those from biblical and rabbinic times is essential. Someone like me might have glazed-over eyes when reading a long list of ingredients that go into a medicine; not so for pharmacists, who must be aware of every iota of its contents.</w:t>
      </w:r>
    </w:p>
    <w:p w:rsidR="00CB4258" w:rsidRPr="00414B81" w:rsidRDefault="00CB4258" w:rsidP="00E26793">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Let us honor those pharmacists who have given so much both to their professions and to the Jericho Jewish Center</w:t>
      </w:r>
      <w:r w:rsidR="00E26793">
        <w:rPr>
          <w:rFonts w:asciiTheme="majorBidi" w:hAnsiTheme="majorBidi" w:cstheme="majorBidi"/>
          <w:sz w:val="32"/>
          <w:szCs w:val="32"/>
          <w:lang w:bidi="he-IL"/>
        </w:rPr>
        <w:t>: Seymour Cohen, Bill Kassimir, Arny Wishner, Jake Jacobson and Sy Kirshenbaum in abstentia; and Nancy Sherman who works in pharmaceuticals</w:t>
      </w:r>
      <w:r>
        <w:rPr>
          <w:rFonts w:asciiTheme="majorBidi" w:hAnsiTheme="majorBidi" w:cstheme="majorBidi"/>
          <w:sz w:val="32"/>
          <w:szCs w:val="32"/>
          <w:lang w:bidi="he-IL"/>
        </w:rPr>
        <w:t>. We appreciate your ongoing dedication to all that you do and are blessed to have you as part of our sacred commu</w:t>
      </w:r>
      <w:r w:rsidR="00E26793">
        <w:rPr>
          <w:rFonts w:asciiTheme="majorBidi" w:hAnsiTheme="majorBidi" w:cstheme="majorBidi"/>
          <w:sz w:val="32"/>
          <w:szCs w:val="32"/>
          <w:lang w:bidi="he-IL"/>
        </w:rPr>
        <w:t xml:space="preserve">nity. Thank you for who you are, for </w:t>
      </w:r>
      <w:bookmarkStart w:id="0" w:name="_GoBack"/>
      <w:bookmarkEnd w:id="0"/>
      <w:r>
        <w:rPr>
          <w:rFonts w:asciiTheme="majorBidi" w:hAnsiTheme="majorBidi" w:cstheme="majorBidi"/>
          <w:sz w:val="32"/>
          <w:szCs w:val="32"/>
          <w:lang w:bidi="he-IL"/>
        </w:rPr>
        <w:t>what you do and for following in the footsteps of Moses in making “wonder-drugs” out of herbs.</w:t>
      </w:r>
    </w:p>
    <w:sectPr w:rsidR="00CB4258" w:rsidRPr="00414B8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6785" w:rsidRDefault="007E6785" w:rsidP="00414B81">
      <w:pPr>
        <w:spacing w:after="0" w:line="240" w:lineRule="auto"/>
      </w:pPr>
      <w:r>
        <w:separator/>
      </w:r>
    </w:p>
  </w:endnote>
  <w:endnote w:type="continuationSeparator" w:id="0">
    <w:p w:rsidR="007E6785" w:rsidRDefault="007E6785" w:rsidP="00414B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3745205"/>
      <w:docPartObj>
        <w:docPartGallery w:val="Page Numbers (Bottom of Page)"/>
        <w:docPartUnique/>
      </w:docPartObj>
    </w:sdtPr>
    <w:sdtEndPr>
      <w:rPr>
        <w:noProof/>
      </w:rPr>
    </w:sdtEndPr>
    <w:sdtContent>
      <w:p w:rsidR="00B94EAF" w:rsidRDefault="00B94EAF">
        <w:pPr>
          <w:pStyle w:val="Footer"/>
          <w:jc w:val="right"/>
        </w:pPr>
        <w:r>
          <w:fldChar w:fldCharType="begin"/>
        </w:r>
        <w:r>
          <w:instrText xml:space="preserve"> PAGE   \* MERGEFORMAT </w:instrText>
        </w:r>
        <w:r>
          <w:fldChar w:fldCharType="separate"/>
        </w:r>
        <w:r w:rsidR="00E26793">
          <w:rPr>
            <w:noProof/>
          </w:rPr>
          <w:t>4</w:t>
        </w:r>
        <w:r>
          <w:rPr>
            <w:noProof/>
          </w:rPr>
          <w:fldChar w:fldCharType="end"/>
        </w:r>
      </w:p>
    </w:sdtContent>
  </w:sdt>
  <w:p w:rsidR="00B94EAF" w:rsidRDefault="00B94E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6785" w:rsidRDefault="007E6785" w:rsidP="00414B81">
      <w:pPr>
        <w:spacing w:after="0" w:line="240" w:lineRule="auto"/>
      </w:pPr>
      <w:r>
        <w:separator/>
      </w:r>
    </w:p>
  </w:footnote>
  <w:footnote w:type="continuationSeparator" w:id="0">
    <w:p w:rsidR="007E6785" w:rsidRDefault="007E6785" w:rsidP="00414B81">
      <w:pPr>
        <w:spacing w:after="0" w:line="240" w:lineRule="auto"/>
      </w:pPr>
      <w:r>
        <w:continuationSeparator/>
      </w:r>
    </w:p>
  </w:footnote>
  <w:footnote w:id="1">
    <w:p w:rsidR="00414B81" w:rsidRDefault="00414B81" w:rsidP="00414B81">
      <w:pPr>
        <w:pStyle w:val="FootnoteText"/>
        <w:ind w:firstLine="720"/>
      </w:pPr>
      <w:r>
        <w:rPr>
          <w:rStyle w:val="FootnoteReference"/>
        </w:rPr>
        <w:footnoteRef/>
      </w:r>
      <w:r>
        <w:t xml:space="preserve"> Exodus 30:34</w:t>
      </w:r>
    </w:p>
  </w:footnote>
  <w:footnote w:id="2">
    <w:p w:rsidR="00B4656C" w:rsidRDefault="00B4656C" w:rsidP="00B4656C">
      <w:pPr>
        <w:pStyle w:val="FootnoteText"/>
        <w:ind w:firstLine="720"/>
      </w:pPr>
      <w:r>
        <w:rPr>
          <w:rStyle w:val="FootnoteReference"/>
        </w:rPr>
        <w:footnoteRef/>
      </w:r>
      <w:r>
        <w:t xml:space="preserve"> Exodus 30:35</w:t>
      </w:r>
    </w:p>
  </w:footnote>
  <w:footnote w:id="3">
    <w:p w:rsidR="00414B81" w:rsidRDefault="00414B81" w:rsidP="00414B81">
      <w:pPr>
        <w:pStyle w:val="FootnoteText"/>
        <w:ind w:firstLine="720"/>
      </w:pPr>
      <w:r>
        <w:rPr>
          <w:rStyle w:val="FootnoteReference"/>
        </w:rPr>
        <w:footnoteRef/>
      </w:r>
      <w:r>
        <w:t xml:space="preserve"> See Exodus 30:37</w:t>
      </w:r>
    </w:p>
  </w:footnote>
  <w:footnote w:id="4">
    <w:p w:rsidR="00C6543C" w:rsidRDefault="00C6543C" w:rsidP="00C6543C">
      <w:pPr>
        <w:pStyle w:val="FootnoteText"/>
        <w:ind w:firstLine="720"/>
      </w:pPr>
      <w:r>
        <w:rPr>
          <w:rStyle w:val="FootnoteReference"/>
        </w:rPr>
        <w:footnoteRef/>
      </w:r>
      <w:r>
        <w:t xml:space="preserve"> Mishnah Keritut 6:1</w:t>
      </w:r>
    </w:p>
  </w:footnote>
  <w:footnote w:id="5">
    <w:p w:rsidR="00B94EAF" w:rsidRDefault="00B94EAF" w:rsidP="00B94EAF">
      <w:pPr>
        <w:pStyle w:val="FootnoteText"/>
        <w:ind w:firstLine="720"/>
      </w:pPr>
      <w:r>
        <w:rPr>
          <w:rStyle w:val="FootnoteReference"/>
        </w:rPr>
        <w:footnoteRef/>
      </w:r>
      <w:r>
        <w:t xml:space="preserve"> Leviticus 1:9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B81"/>
    <w:rsid w:val="00233BD9"/>
    <w:rsid w:val="00414B81"/>
    <w:rsid w:val="007E6785"/>
    <w:rsid w:val="00A263C7"/>
    <w:rsid w:val="00B4656C"/>
    <w:rsid w:val="00B94EAF"/>
    <w:rsid w:val="00C6543C"/>
    <w:rsid w:val="00CB4258"/>
    <w:rsid w:val="00E2679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14B8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14B81"/>
    <w:rPr>
      <w:sz w:val="20"/>
      <w:szCs w:val="20"/>
    </w:rPr>
  </w:style>
  <w:style w:type="character" w:styleId="FootnoteReference">
    <w:name w:val="footnote reference"/>
    <w:basedOn w:val="DefaultParagraphFont"/>
    <w:uiPriority w:val="99"/>
    <w:semiHidden/>
    <w:unhideWhenUsed/>
    <w:rsid w:val="00414B81"/>
    <w:rPr>
      <w:vertAlign w:val="superscript"/>
    </w:rPr>
  </w:style>
  <w:style w:type="paragraph" w:styleId="Header">
    <w:name w:val="header"/>
    <w:basedOn w:val="Normal"/>
    <w:link w:val="HeaderChar"/>
    <w:uiPriority w:val="99"/>
    <w:unhideWhenUsed/>
    <w:rsid w:val="00B94E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4EAF"/>
  </w:style>
  <w:style w:type="paragraph" w:styleId="Footer">
    <w:name w:val="footer"/>
    <w:basedOn w:val="Normal"/>
    <w:link w:val="FooterChar"/>
    <w:uiPriority w:val="99"/>
    <w:unhideWhenUsed/>
    <w:rsid w:val="00B94E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4EAF"/>
  </w:style>
  <w:style w:type="paragraph" w:styleId="BalloonText">
    <w:name w:val="Balloon Text"/>
    <w:basedOn w:val="Normal"/>
    <w:link w:val="BalloonTextChar"/>
    <w:uiPriority w:val="99"/>
    <w:semiHidden/>
    <w:unhideWhenUsed/>
    <w:rsid w:val="00CB42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42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14B8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14B81"/>
    <w:rPr>
      <w:sz w:val="20"/>
      <w:szCs w:val="20"/>
    </w:rPr>
  </w:style>
  <w:style w:type="character" w:styleId="FootnoteReference">
    <w:name w:val="footnote reference"/>
    <w:basedOn w:val="DefaultParagraphFont"/>
    <w:uiPriority w:val="99"/>
    <w:semiHidden/>
    <w:unhideWhenUsed/>
    <w:rsid w:val="00414B81"/>
    <w:rPr>
      <w:vertAlign w:val="superscript"/>
    </w:rPr>
  </w:style>
  <w:style w:type="paragraph" w:styleId="Header">
    <w:name w:val="header"/>
    <w:basedOn w:val="Normal"/>
    <w:link w:val="HeaderChar"/>
    <w:uiPriority w:val="99"/>
    <w:unhideWhenUsed/>
    <w:rsid w:val="00B94E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4EAF"/>
  </w:style>
  <w:style w:type="paragraph" w:styleId="Footer">
    <w:name w:val="footer"/>
    <w:basedOn w:val="Normal"/>
    <w:link w:val="FooterChar"/>
    <w:uiPriority w:val="99"/>
    <w:unhideWhenUsed/>
    <w:rsid w:val="00B94E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4EAF"/>
  </w:style>
  <w:style w:type="paragraph" w:styleId="BalloonText">
    <w:name w:val="Balloon Text"/>
    <w:basedOn w:val="Normal"/>
    <w:link w:val="BalloonTextChar"/>
    <w:uiPriority w:val="99"/>
    <w:semiHidden/>
    <w:unhideWhenUsed/>
    <w:rsid w:val="00CB42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42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4B9AFD-1D54-4E74-9E91-376DCE7FF8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4</Pages>
  <Words>620</Words>
  <Characters>2994</Characters>
  <Application>Microsoft Office Word</Application>
  <DocSecurity>0</DocSecurity>
  <Lines>51</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cp:lastPrinted>2018-01-09T22:01:00Z</cp:lastPrinted>
  <dcterms:created xsi:type="dcterms:W3CDTF">2018-01-09T21:21:00Z</dcterms:created>
  <dcterms:modified xsi:type="dcterms:W3CDTF">2018-03-18T14:48:00Z</dcterms:modified>
</cp:coreProperties>
</file>