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56C" w:rsidRDefault="00F834F5" w:rsidP="00F834F5">
      <w:pPr>
        <w:jc w:val="center"/>
        <w:rPr>
          <w:rFonts w:asciiTheme="majorBidi" w:hAnsiTheme="majorBidi" w:cstheme="majorBidi"/>
          <w:sz w:val="48"/>
          <w:szCs w:val="48"/>
        </w:rPr>
      </w:pPr>
      <w:r>
        <w:rPr>
          <w:rFonts w:asciiTheme="majorBidi" w:hAnsiTheme="majorBidi" w:cstheme="majorBidi"/>
          <w:sz w:val="48"/>
          <w:szCs w:val="48"/>
        </w:rPr>
        <w:t>How Do We Pray to G-d</w:t>
      </w:r>
    </w:p>
    <w:p w:rsidR="00F834F5" w:rsidRDefault="00F834F5" w:rsidP="00F834F5">
      <w:pPr>
        <w:spacing w:line="480" w:lineRule="auto"/>
        <w:rPr>
          <w:rFonts w:asciiTheme="majorBidi" w:hAnsiTheme="majorBidi" w:cstheme="majorBidi"/>
          <w:sz w:val="32"/>
          <w:szCs w:val="32"/>
        </w:rPr>
      </w:pPr>
      <w:r>
        <w:rPr>
          <w:rFonts w:asciiTheme="majorBidi" w:hAnsiTheme="majorBidi" w:cstheme="majorBidi"/>
          <w:sz w:val="32"/>
          <w:szCs w:val="32"/>
        </w:rPr>
        <w:tab/>
        <w:t>What is the proper way in which to pray to G-d? At the Institute for Jewish Spirituality, we explored prayer as not only something to do at services but as something to make part and parcel of our practice throughout the day. Often many of us (</w:t>
      </w:r>
      <w:proofErr w:type="gramStart"/>
      <w:r>
        <w:rPr>
          <w:rFonts w:asciiTheme="majorBidi" w:hAnsiTheme="majorBidi" w:cstheme="majorBidi"/>
          <w:sz w:val="32"/>
          <w:szCs w:val="32"/>
        </w:rPr>
        <w:t>myself</w:t>
      </w:r>
      <w:proofErr w:type="gramEnd"/>
      <w:r>
        <w:rPr>
          <w:rFonts w:asciiTheme="majorBidi" w:hAnsiTheme="majorBidi" w:cstheme="majorBidi"/>
          <w:sz w:val="32"/>
          <w:szCs w:val="32"/>
        </w:rPr>
        <w:t xml:space="preserve"> included) can get bored in prayer and pray by rote. That of course is not the ideal way to pray </w:t>
      </w:r>
      <w:proofErr w:type="gramStart"/>
      <w:r>
        <w:rPr>
          <w:rFonts w:asciiTheme="majorBidi" w:hAnsiTheme="majorBidi" w:cstheme="majorBidi"/>
          <w:sz w:val="32"/>
          <w:szCs w:val="32"/>
        </w:rPr>
        <w:t>to  G</w:t>
      </w:r>
      <w:proofErr w:type="gramEnd"/>
      <w:r>
        <w:rPr>
          <w:rFonts w:asciiTheme="majorBidi" w:hAnsiTheme="majorBidi" w:cstheme="majorBidi"/>
          <w:sz w:val="32"/>
          <w:szCs w:val="32"/>
        </w:rPr>
        <w:t>-d, which bears forth the question “what is?”</w:t>
      </w:r>
    </w:p>
    <w:p w:rsidR="00F834F5" w:rsidRDefault="00F834F5" w:rsidP="0048077E">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One approach is given by Rabbi </w:t>
      </w:r>
      <w:proofErr w:type="spellStart"/>
      <w:r>
        <w:rPr>
          <w:rFonts w:asciiTheme="majorBidi" w:hAnsiTheme="majorBidi" w:cstheme="majorBidi"/>
          <w:sz w:val="32"/>
          <w:szCs w:val="32"/>
        </w:rPr>
        <w:t>Nahman</w:t>
      </w:r>
      <w:proofErr w:type="spellEnd"/>
      <w:r>
        <w:rPr>
          <w:rFonts w:asciiTheme="majorBidi" w:hAnsiTheme="majorBidi" w:cstheme="majorBidi"/>
          <w:sz w:val="32"/>
          <w:szCs w:val="32"/>
        </w:rPr>
        <w:t xml:space="preserve"> of </w:t>
      </w:r>
      <w:proofErr w:type="spellStart"/>
      <w:r>
        <w:rPr>
          <w:rFonts w:asciiTheme="majorBidi" w:hAnsiTheme="majorBidi" w:cstheme="majorBidi"/>
          <w:sz w:val="32"/>
          <w:szCs w:val="32"/>
        </w:rPr>
        <w:t>Bratslav</w:t>
      </w:r>
      <w:proofErr w:type="spellEnd"/>
      <w:r>
        <w:rPr>
          <w:rFonts w:asciiTheme="majorBidi" w:hAnsiTheme="majorBidi" w:cstheme="majorBidi"/>
          <w:sz w:val="32"/>
          <w:szCs w:val="32"/>
        </w:rPr>
        <w:t xml:space="preserve"> in his work </w:t>
      </w:r>
      <w:proofErr w:type="spellStart"/>
      <w:r>
        <w:rPr>
          <w:rFonts w:asciiTheme="majorBidi" w:hAnsiTheme="majorBidi" w:cstheme="majorBidi"/>
          <w:i/>
          <w:iCs/>
          <w:sz w:val="32"/>
          <w:szCs w:val="32"/>
        </w:rPr>
        <w:t>Likkutei</w:t>
      </w:r>
      <w:proofErr w:type="spellEnd"/>
      <w:r>
        <w:rPr>
          <w:rFonts w:asciiTheme="majorBidi" w:hAnsiTheme="majorBidi" w:cstheme="majorBidi"/>
          <w:i/>
          <w:iCs/>
          <w:sz w:val="32"/>
          <w:szCs w:val="32"/>
        </w:rPr>
        <w:t xml:space="preserve"> </w:t>
      </w:r>
      <w:proofErr w:type="spellStart"/>
      <w:r>
        <w:rPr>
          <w:rFonts w:asciiTheme="majorBidi" w:hAnsiTheme="majorBidi" w:cstheme="majorBidi"/>
          <w:i/>
          <w:iCs/>
          <w:sz w:val="32"/>
          <w:szCs w:val="32"/>
        </w:rPr>
        <w:t>Moharan</w:t>
      </w:r>
      <w:proofErr w:type="spellEnd"/>
      <w:r>
        <w:rPr>
          <w:rFonts w:asciiTheme="majorBidi" w:hAnsiTheme="majorBidi" w:cstheme="majorBidi"/>
          <w:sz w:val="32"/>
          <w:szCs w:val="32"/>
        </w:rPr>
        <w:t xml:space="preserve">. In commenting on the verse beginning this </w:t>
      </w:r>
      <w:proofErr w:type="spellStart"/>
      <w:r>
        <w:rPr>
          <w:rFonts w:asciiTheme="majorBidi" w:hAnsiTheme="majorBidi" w:cstheme="majorBidi"/>
          <w:sz w:val="32"/>
          <w:szCs w:val="32"/>
        </w:rPr>
        <w:t>weeks</w:t>
      </w:r>
      <w:proofErr w:type="spellEnd"/>
      <w:r>
        <w:rPr>
          <w:rFonts w:asciiTheme="majorBidi" w:hAnsiTheme="majorBidi" w:cstheme="majorBidi"/>
          <w:sz w:val="32"/>
          <w:szCs w:val="32"/>
        </w:rPr>
        <w:t xml:space="preserve"> Torah portion, </w:t>
      </w:r>
      <w:r>
        <w:rPr>
          <w:rFonts w:asciiTheme="majorBidi" w:hAnsiTheme="majorBidi" w:cstheme="majorBidi" w:hint="cs"/>
          <w:sz w:val="32"/>
          <w:szCs w:val="32"/>
          <w:rtl/>
          <w:lang w:bidi="he-IL"/>
        </w:rPr>
        <w:t>ואתחנן על ה בעת ההיא לאמר</w:t>
      </w:r>
      <w:r>
        <w:rPr>
          <w:rFonts w:asciiTheme="majorBidi" w:hAnsiTheme="majorBidi" w:cstheme="majorBidi"/>
          <w:sz w:val="32"/>
          <w:szCs w:val="32"/>
          <w:lang w:bidi="he-IL"/>
        </w:rPr>
        <w:t xml:space="preserve"> “and I entreated G-d at that moment saying…”</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Rebbe</w:t>
      </w:r>
      <w:proofErr w:type="spellEnd"/>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Nahaman</w:t>
      </w:r>
      <w:proofErr w:type="spellEnd"/>
      <w:r>
        <w:rPr>
          <w:rFonts w:asciiTheme="majorBidi" w:hAnsiTheme="majorBidi" w:cstheme="majorBidi"/>
          <w:sz w:val="32"/>
          <w:szCs w:val="32"/>
          <w:lang w:bidi="he-IL"/>
        </w:rPr>
        <w:t xml:space="preserve"> asserted </w:t>
      </w:r>
      <w:r>
        <w:rPr>
          <w:rFonts w:asciiTheme="majorBidi" w:hAnsiTheme="majorBidi" w:cstheme="majorBidi" w:hint="cs"/>
          <w:sz w:val="32"/>
          <w:szCs w:val="32"/>
          <w:rtl/>
          <w:lang w:bidi="he-IL"/>
        </w:rPr>
        <w:t>דהנה אדם צריך להתפלל בדבקות גדול להשם יתברך</w:t>
      </w:r>
      <w:r>
        <w:rPr>
          <w:rFonts w:asciiTheme="majorBidi" w:hAnsiTheme="majorBidi" w:cstheme="majorBidi"/>
          <w:sz w:val="32"/>
          <w:szCs w:val="32"/>
          <w:lang w:bidi="he-IL"/>
        </w:rPr>
        <w:t xml:space="preserve">, “A person needs to pray clinging to G-d.” </w:t>
      </w:r>
      <w:r w:rsidR="0048077E">
        <w:rPr>
          <w:rFonts w:asciiTheme="majorBidi" w:hAnsiTheme="majorBidi" w:cstheme="majorBidi"/>
          <w:sz w:val="32"/>
          <w:szCs w:val="32"/>
          <w:lang w:bidi="he-IL"/>
        </w:rPr>
        <w:t xml:space="preserve">However, is it always possible to pray in such a state? </w:t>
      </w:r>
      <w:proofErr w:type="spellStart"/>
      <w:r w:rsidR="0048077E">
        <w:rPr>
          <w:rFonts w:asciiTheme="majorBidi" w:hAnsiTheme="majorBidi" w:cstheme="majorBidi"/>
          <w:sz w:val="32"/>
          <w:szCs w:val="32"/>
          <w:lang w:bidi="he-IL"/>
        </w:rPr>
        <w:t>Rebbe</w:t>
      </w:r>
      <w:proofErr w:type="spellEnd"/>
      <w:r w:rsidR="0048077E">
        <w:rPr>
          <w:rFonts w:asciiTheme="majorBidi" w:hAnsiTheme="majorBidi" w:cstheme="majorBidi"/>
          <w:sz w:val="32"/>
          <w:szCs w:val="32"/>
          <w:lang w:bidi="he-IL"/>
        </w:rPr>
        <w:t xml:space="preserve"> </w:t>
      </w:r>
      <w:proofErr w:type="spellStart"/>
      <w:r w:rsidR="0048077E">
        <w:rPr>
          <w:rFonts w:asciiTheme="majorBidi" w:hAnsiTheme="majorBidi" w:cstheme="majorBidi"/>
          <w:sz w:val="32"/>
          <w:szCs w:val="32"/>
          <w:lang w:bidi="he-IL"/>
        </w:rPr>
        <w:t>Nahman</w:t>
      </w:r>
      <w:proofErr w:type="spellEnd"/>
      <w:r w:rsidR="0048077E">
        <w:rPr>
          <w:rFonts w:asciiTheme="majorBidi" w:hAnsiTheme="majorBidi" w:cstheme="majorBidi"/>
          <w:sz w:val="32"/>
          <w:szCs w:val="32"/>
          <w:lang w:bidi="he-IL"/>
        </w:rPr>
        <w:t xml:space="preserve"> recognizes that it is not, continuing</w:t>
      </w:r>
      <w:r>
        <w:rPr>
          <w:rFonts w:asciiTheme="majorBidi" w:hAnsiTheme="majorBidi" w:cstheme="majorBidi" w:hint="cs"/>
          <w:sz w:val="32"/>
          <w:szCs w:val="32"/>
          <w:rtl/>
          <w:lang w:bidi="he-IL"/>
        </w:rPr>
        <w:t>אך אם לפעמים יש עת, שאינו יכול להפלל</w:t>
      </w:r>
      <w:r w:rsidR="0048077E">
        <w:rPr>
          <w:rFonts w:asciiTheme="majorBidi" w:hAnsiTheme="majorBidi" w:cstheme="majorBidi" w:hint="cs"/>
          <w:sz w:val="32"/>
          <w:szCs w:val="32"/>
          <w:rtl/>
          <w:lang w:bidi="he-IL"/>
        </w:rPr>
        <w:t xml:space="preserve"> בדבקות, אל יאמר: איני מתפלל כלל, מאחר שאינו יכול לכון כראוי ולהתפלל בדבקות, והתפילה אינו מקובלת</w:t>
      </w:r>
      <w:r w:rsidR="0048077E">
        <w:rPr>
          <w:rFonts w:asciiTheme="majorBidi" w:hAnsiTheme="majorBidi" w:cstheme="majorBidi"/>
          <w:sz w:val="32"/>
          <w:szCs w:val="32"/>
          <w:lang w:bidi="he-IL"/>
        </w:rPr>
        <w:t xml:space="preserve">, “If at times he’s not able to pray clinging to G-d, he should not say ‘Since I cannot intend myself as is proper and pray </w:t>
      </w:r>
      <w:r w:rsidR="0048077E">
        <w:rPr>
          <w:rFonts w:asciiTheme="majorBidi" w:hAnsiTheme="majorBidi" w:cstheme="majorBidi"/>
          <w:sz w:val="32"/>
          <w:szCs w:val="32"/>
          <w:lang w:bidi="he-IL"/>
        </w:rPr>
        <w:lastRenderedPageBreak/>
        <w:t xml:space="preserve">clinging to G-d, the prayer will not be received.” Rather what one should do is entreat to G-d </w:t>
      </w:r>
      <w:r w:rsidR="0048077E">
        <w:rPr>
          <w:rFonts w:asciiTheme="majorBidi" w:hAnsiTheme="majorBidi" w:cstheme="majorBidi" w:hint="cs"/>
          <w:sz w:val="32"/>
          <w:szCs w:val="32"/>
          <w:rtl/>
          <w:lang w:bidi="he-IL"/>
        </w:rPr>
        <w:t>תמיד, בין בדבקות בין אינו בדבקות</w:t>
      </w:r>
      <w:r w:rsidR="0048077E">
        <w:rPr>
          <w:rFonts w:asciiTheme="majorBidi" w:hAnsiTheme="majorBidi" w:cstheme="majorBidi"/>
          <w:sz w:val="32"/>
          <w:szCs w:val="32"/>
          <w:lang w:bidi="he-IL"/>
        </w:rPr>
        <w:t>, “always, whether or not he is able to cling to G-d.”</w:t>
      </w:r>
      <w:r w:rsidR="0048077E">
        <w:rPr>
          <w:rStyle w:val="FootnoteReference"/>
          <w:rFonts w:asciiTheme="majorBidi" w:hAnsiTheme="majorBidi" w:cstheme="majorBidi"/>
          <w:sz w:val="32"/>
          <w:szCs w:val="32"/>
          <w:lang w:bidi="he-IL"/>
        </w:rPr>
        <w:footnoteReference w:id="2"/>
      </w:r>
      <w:r w:rsidR="0048077E">
        <w:rPr>
          <w:rFonts w:asciiTheme="majorBidi" w:hAnsiTheme="majorBidi" w:cstheme="majorBidi" w:hint="cs"/>
          <w:sz w:val="32"/>
          <w:szCs w:val="32"/>
          <w:rtl/>
          <w:lang w:bidi="he-IL"/>
        </w:rPr>
        <w:t xml:space="preserve"> </w:t>
      </w:r>
      <w:r w:rsidR="0048077E">
        <w:rPr>
          <w:rFonts w:asciiTheme="majorBidi" w:hAnsiTheme="majorBidi" w:cstheme="majorBidi"/>
          <w:sz w:val="32"/>
          <w:szCs w:val="32"/>
          <w:lang w:bidi="he-IL"/>
        </w:rPr>
        <w:t xml:space="preserve"> </w:t>
      </w:r>
      <w:r>
        <w:rPr>
          <w:rFonts w:asciiTheme="majorBidi" w:hAnsiTheme="majorBidi" w:cstheme="majorBidi" w:hint="cs"/>
          <w:sz w:val="32"/>
          <w:szCs w:val="32"/>
          <w:rtl/>
          <w:lang w:bidi="he-IL"/>
        </w:rPr>
        <w:t xml:space="preserve"> </w:t>
      </w:r>
      <w:r w:rsidR="0048077E">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 </w:t>
      </w:r>
    </w:p>
    <w:p w:rsidR="0048077E" w:rsidRDefault="0048077E" w:rsidP="0048077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proofErr w:type="spellStart"/>
      <w:r>
        <w:rPr>
          <w:rFonts w:asciiTheme="majorBidi" w:hAnsiTheme="majorBidi" w:cstheme="majorBidi"/>
          <w:sz w:val="32"/>
          <w:szCs w:val="32"/>
          <w:lang w:bidi="he-IL"/>
        </w:rPr>
        <w:t>Rebbe</w:t>
      </w:r>
      <w:proofErr w:type="spellEnd"/>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Nahman</w:t>
      </w:r>
      <w:proofErr w:type="spellEnd"/>
      <w:r>
        <w:rPr>
          <w:rFonts w:asciiTheme="majorBidi" w:hAnsiTheme="majorBidi" w:cstheme="majorBidi"/>
          <w:sz w:val="32"/>
          <w:szCs w:val="32"/>
          <w:lang w:bidi="he-IL"/>
        </w:rPr>
        <w:t xml:space="preserve"> demonstrates here why </w:t>
      </w:r>
      <w:proofErr w:type="spellStart"/>
      <w:r>
        <w:rPr>
          <w:rFonts w:asciiTheme="majorBidi" w:hAnsiTheme="majorBidi" w:cstheme="majorBidi"/>
          <w:sz w:val="32"/>
          <w:szCs w:val="32"/>
          <w:lang w:bidi="he-IL"/>
        </w:rPr>
        <w:t>Hasidut</w:t>
      </w:r>
      <w:proofErr w:type="spellEnd"/>
      <w:r>
        <w:rPr>
          <w:rFonts w:asciiTheme="majorBidi" w:hAnsiTheme="majorBidi" w:cstheme="majorBidi"/>
          <w:sz w:val="32"/>
          <w:szCs w:val="32"/>
          <w:lang w:bidi="he-IL"/>
        </w:rPr>
        <w:t xml:space="preserve"> was so </w:t>
      </w:r>
      <w:proofErr w:type="gramStart"/>
      <w:r>
        <w:rPr>
          <w:rFonts w:asciiTheme="majorBidi" w:hAnsiTheme="majorBidi" w:cstheme="majorBidi"/>
          <w:sz w:val="32"/>
          <w:szCs w:val="32"/>
          <w:lang w:bidi="he-IL"/>
        </w:rPr>
        <w:t>populist</w:t>
      </w:r>
      <w:proofErr w:type="gramEnd"/>
      <w:r>
        <w:rPr>
          <w:rFonts w:asciiTheme="majorBidi" w:hAnsiTheme="majorBidi" w:cstheme="majorBidi"/>
          <w:sz w:val="32"/>
          <w:szCs w:val="32"/>
          <w:lang w:bidi="he-IL"/>
        </w:rPr>
        <w:t xml:space="preserve">: it recognized the limitations of people. He knew that people could not always pray directly clinging to G-d, for there are far too many distractions pulling us away from G-d and to worldly concerns. Rather than admonish his Hasidim for their lack of connection, </w:t>
      </w:r>
      <w:proofErr w:type="spellStart"/>
      <w:r>
        <w:rPr>
          <w:rFonts w:asciiTheme="majorBidi" w:hAnsiTheme="majorBidi" w:cstheme="majorBidi"/>
          <w:sz w:val="32"/>
          <w:szCs w:val="32"/>
          <w:lang w:bidi="he-IL"/>
        </w:rPr>
        <w:t>Nahman</w:t>
      </w:r>
      <w:proofErr w:type="spellEnd"/>
      <w:r>
        <w:rPr>
          <w:rFonts w:asciiTheme="majorBidi" w:hAnsiTheme="majorBidi" w:cstheme="majorBidi"/>
          <w:sz w:val="32"/>
          <w:szCs w:val="32"/>
          <w:lang w:bidi="he-IL"/>
        </w:rPr>
        <w:t xml:space="preserve"> said ‘</w:t>
      </w:r>
      <w:proofErr w:type="gramStart"/>
      <w:r>
        <w:rPr>
          <w:rFonts w:asciiTheme="majorBidi" w:hAnsiTheme="majorBidi" w:cstheme="majorBidi"/>
          <w:sz w:val="32"/>
          <w:szCs w:val="32"/>
          <w:lang w:bidi="he-IL"/>
        </w:rPr>
        <w:t>That’s</w:t>
      </w:r>
      <w:proofErr w:type="gramEnd"/>
      <w:r>
        <w:rPr>
          <w:rFonts w:asciiTheme="majorBidi" w:hAnsiTheme="majorBidi" w:cstheme="majorBidi"/>
          <w:sz w:val="32"/>
          <w:szCs w:val="32"/>
          <w:lang w:bidi="he-IL"/>
        </w:rPr>
        <w:t xml:space="preserve"> ok, no problem’ as he recognizes that it was better to pray when diverted than not pray at all. In so doing he made people feel good about their efforts rather than guilty that they did not do better.</w:t>
      </w:r>
    </w:p>
    <w:p w:rsidR="0048077E" w:rsidRDefault="0048077E" w:rsidP="0048077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proofErr w:type="spellStart"/>
      <w:r>
        <w:rPr>
          <w:rFonts w:asciiTheme="majorBidi" w:hAnsiTheme="majorBidi" w:cstheme="majorBidi"/>
          <w:sz w:val="32"/>
          <w:szCs w:val="32"/>
          <w:lang w:bidi="he-IL"/>
        </w:rPr>
        <w:t>Rebbe</w:t>
      </w:r>
      <w:proofErr w:type="spellEnd"/>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Nahman</w:t>
      </w:r>
      <w:proofErr w:type="spellEnd"/>
      <w:r>
        <w:rPr>
          <w:rFonts w:asciiTheme="majorBidi" w:hAnsiTheme="majorBidi" w:cstheme="majorBidi"/>
          <w:sz w:val="32"/>
          <w:szCs w:val="32"/>
          <w:lang w:bidi="he-IL"/>
        </w:rPr>
        <w:t xml:space="preserve"> </w:t>
      </w:r>
      <w:r w:rsidR="00446469">
        <w:rPr>
          <w:rFonts w:asciiTheme="majorBidi" w:hAnsiTheme="majorBidi" w:cstheme="majorBidi"/>
          <w:sz w:val="32"/>
          <w:szCs w:val="32"/>
          <w:lang w:bidi="he-IL"/>
        </w:rPr>
        <w:t xml:space="preserve">continues describing what it is like to pray while clinging to G-d. He comments that Moses prayed before G-d </w:t>
      </w:r>
      <w:r w:rsidR="00446469">
        <w:rPr>
          <w:rFonts w:asciiTheme="majorBidi" w:hAnsiTheme="majorBidi" w:cstheme="majorBidi" w:hint="cs"/>
          <w:sz w:val="32"/>
          <w:szCs w:val="32"/>
          <w:rtl/>
          <w:lang w:bidi="he-IL"/>
        </w:rPr>
        <w:t>בעת ההיא</w:t>
      </w:r>
      <w:r w:rsidR="00446469">
        <w:rPr>
          <w:rFonts w:asciiTheme="majorBidi" w:hAnsiTheme="majorBidi" w:cstheme="majorBidi"/>
          <w:sz w:val="32"/>
          <w:szCs w:val="32"/>
          <w:lang w:bidi="he-IL"/>
        </w:rPr>
        <w:t xml:space="preserve">, at a particular time. What is that time? He writes </w:t>
      </w:r>
      <w:r w:rsidR="00446469">
        <w:rPr>
          <w:rFonts w:asciiTheme="majorBidi" w:hAnsiTheme="majorBidi" w:cstheme="majorBidi" w:hint="cs"/>
          <w:sz w:val="32"/>
          <w:szCs w:val="32"/>
          <w:rtl/>
          <w:lang w:bidi="he-IL"/>
        </w:rPr>
        <w:t>הינו בעת שאזכה להתפלל בדבקות, שהוא בחינת שגורה תפלתי בפי</w:t>
      </w:r>
      <w:r w:rsidR="00446469">
        <w:rPr>
          <w:rFonts w:asciiTheme="majorBidi" w:hAnsiTheme="majorBidi" w:cstheme="majorBidi"/>
          <w:sz w:val="32"/>
          <w:szCs w:val="32"/>
          <w:lang w:bidi="he-IL"/>
        </w:rPr>
        <w:t xml:space="preserve">, “It was a time when he merited </w:t>
      </w:r>
      <w:proofErr w:type="gramStart"/>
      <w:r w:rsidR="00446469">
        <w:rPr>
          <w:rFonts w:asciiTheme="majorBidi" w:hAnsiTheme="majorBidi" w:cstheme="majorBidi"/>
          <w:sz w:val="32"/>
          <w:szCs w:val="32"/>
          <w:lang w:bidi="he-IL"/>
        </w:rPr>
        <w:t>to pray</w:t>
      </w:r>
      <w:proofErr w:type="gramEnd"/>
      <w:r w:rsidR="00446469">
        <w:rPr>
          <w:rFonts w:asciiTheme="majorBidi" w:hAnsiTheme="majorBidi" w:cstheme="majorBidi"/>
          <w:sz w:val="32"/>
          <w:szCs w:val="32"/>
          <w:lang w:bidi="he-IL"/>
        </w:rPr>
        <w:t xml:space="preserve"> clinging to G-d, that the words were fluent in his mouth.”</w:t>
      </w:r>
      <w:r w:rsidR="00446469">
        <w:rPr>
          <w:rStyle w:val="FootnoteReference"/>
          <w:rFonts w:asciiTheme="majorBidi" w:hAnsiTheme="majorBidi" w:cstheme="majorBidi"/>
          <w:sz w:val="32"/>
          <w:szCs w:val="32"/>
          <w:lang w:bidi="he-IL"/>
        </w:rPr>
        <w:footnoteReference w:id="3"/>
      </w:r>
      <w:r w:rsidR="00446469">
        <w:rPr>
          <w:rFonts w:asciiTheme="majorBidi" w:hAnsiTheme="majorBidi" w:cstheme="majorBidi"/>
          <w:sz w:val="32"/>
          <w:szCs w:val="32"/>
          <w:lang w:bidi="he-IL"/>
        </w:rPr>
        <w:t xml:space="preserve"> Have </w:t>
      </w:r>
      <w:r w:rsidR="00446469">
        <w:rPr>
          <w:rFonts w:asciiTheme="majorBidi" w:hAnsiTheme="majorBidi" w:cstheme="majorBidi"/>
          <w:sz w:val="32"/>
          <w:szCs w:val="32"/>
          <w:lang w:bidi="he-IL"/>
        </w:rPr>
        <w:lastRenderedPageBreak/>
        <w:t xml:space="preserve">you ever had a time when words flow clearly from your mouth, when ‘it all just clicks?’ That is what </w:t>
      </w:r>
      <w:proofErr w:type="spellStart"/>
      <w:r w:rsidR="00446469">
        <w:rPr>
          <w:rFonts w:asciiTheme="majorBidi" w:hAnsiTheme="majorBidi" w:cstheme="majorBidi"/>
          <w:sz w:val="32"/>
          <w:szCs w:val="32"/>
          <w:lang w:bidi="he-IL"/>
        </w:rPr>
        <w:t>Rebbe</w:t>
      </w:r>
      <w:proofErr w:type="spellEnd"/>
      <w:r w:rsidR="00446469">
        <w:rPr>
          <w:rFonts w:asciiTheme="majorBidi" w:hAnsiTheme="majorBidi" w:cstheme="majorBidi"/>
          <w:sz w:val="32"/>
          <w:szCs w:val="32"/>
          <w:lang w:bidi="he-IL"/>
        </w:rPr>
        <w:t xml:space="preserve"> </w:t>
      </w:r>
      <w:proofErr w:type="spellStart"/>
      <w:r w:rsidR="00446469">
        <w:rPr>
          <w:rFonts w:asciiTheme="majorBidi" w:hAnsiTheme="majorBidi" w:cstheme="majorBidi"/>
          <w:sz w:val="32"/>
          <w:szCs w:val="32"/>
          <w:lang w:bidi="he-IL"/>
        </w:rPr>
        <w:t>Nahman</w:t>
      </w:r>
      <w:proofErr w:type="spellEnd"/>
      <w:r w:rsidR="00446469">
        <w:rPr>
          <w:rFonts w:asciiTheme="majorBidi" w:hAnsiTheme="majorBidi" w:cstheme="majorBidi"/>
          <w:sz w:val="32"/>
          <w:szCs w:val="32"/>
          <w:lang w:bidi="he-IL"/>
        </w:rPr>
        <w:t xml:space="preserve"> is describing with Moses before G-d. He is pleading with G-d to allow him to enter the Land of Israel, pouring out his heart onto his sleeve, begging for just one step into that special land. That level of intensity and devotion in one’s words is what </w:t>
      </w:r>
      <w:proofErr w:type="spellStart"/>
      <w:r w:rsidR="00446469">
        <w:rPr>
          <w:rFonts w:asciiTheme="majorBidi" w:hAnsiTheme="majorBidi" w:cstheme="majorBidi"/>
          <w:sz w:val="32"/>
          <w:szCs w:val="32"/>
          <w:lang w:bidi="he-IL"/>
        </w:rPr>
        <w:t>Rebbe</w:t>
      </w:r>
      <w:proofErr w:type="spellEnd"/>
      <w:r w:rsidR="00446469">
        <w:rPr>
          <w:rFonts w:asciiTheme="majorBidi" w:hAnsiTheme="majorBidi" w:cstheme="majorBidi"/>
          <w:sz w:val="32"/>
          <w:szCs w:val="32"/>
          <w:lang w:bidi="he-IL"/>
        </w:rPr>
        <w:t xml:space="preserve"> </w:t>
      </w:r>
      <w:proofErr w:type="spellStart"/>
      <w:r w:rsidR="00446469">
        <w:rPr>
          <w:rFonts w:asciiTheme="majorBidi" w:hAnsiTheme="majorBidi" w:cstheme="majorBidi"/>
          <w:sz w:val="32"/>
          <w:szCs w:val="32"/>
          <w:lang w:bidi="he-IL"/>
        </w:rPr>
        <w:t>Nahman</w:t>
      </w:r>
      <w:proofErr w:type="spellEnd"/>
      <w:r w:rsidR="00446469">
        <w:rPr>
          <w:rFonts w:asciiTheme="majorBidi" w:hAnsiTheme="majorBidi" w:cstheme="majorBidi"/>
          <w:sz w:val="32"/>
          <w:szCs w:val="32"/>
          <w:lang w:bidi="he-IL"/>
        </w:rPr>
        <w:t xml:space="preserve"> is arguing each and every one of us should have when we pray to G-d.</w:t>
      </w:r>
    </w:p>
    <w:p w:rsidR="00446469" w:rsidRPr="00F834F5" w:rsidRDefault="00446469" w:rsidP="0044646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 know that’s extremely difficult if not impossible to do, and </w:t>
      </w:r>
      <w:proofErr w:type="spellStart"/>
      <w:r>
        <w:rPr>
          <w:rFonts w:asciiTheme="majorBidi" w:hAnsiTheme="majorBidi" w:cstheme="majorBidi"/>
          <w:sz w:val="32"/>
          <w:szCs w:val="32"/>
          <w:lang w:bidi="he-IL"/>
        </w:rPr>
        <w:t>Rebbe</w:t>
      </w:r>
      <w:proofErr w:type="spellEnd"/>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Nahman</w:t>
      </w:r>
      <w:proofErr w:type="spellEnd"/>
      <w:r>
        <w:rPr>
          <w:rFonts w:asciiTheme="majorBidi" w:hAnsiTheme="majorBidi" w:cstheme="majorBidi"/>
          <w:sz w:val="32"/>
          <w:szCs w:val="32"/>
          <w:lang w:bidi="he-IL"/>
        </w:rPr>
        <w:t xml:space="preserve"> does as well, for he states that when we cannot achieve such a state we should still pray and try to get there the next time. One of the fortunate things about praying three times a day is we get ample opportunities to pray to G-d and to make the words from our lips genuine and heartfelt rather than merely paying lip service to our obligation. That is what we must strive to do. We are now in the period between Tisha </w:t>
      </w:r>
      <w:proofErr w:type="spellStart"/>
      <w:r>
        <w:rPr>
          <w:rFonts w:asciiTheme="majorBidi" w:hAnsiTheme="majorBidi" w:cstheme="majorBidi"/>
          <w:sz w:val="32"/>
          <w:szCs w:val="32"/>
          <w:lang w:bidi="he-IL"/>
        </w:rPr>
        <w:t>B’Av</w:t>
      </w:r>
      <w:proofErr w:type="spellEnd"/>
      <w:r>
        <w:rPr>
          <w:rFonts w:asciiTheme="majorBidi" w:hAnsiTheme="majorBidi" w:cstheme="majorBidi"/>
          <w:sz w:val="32"/>
          <w:szCs w:val="32"/>
          <w:lang w:bidi="he-IL"/>
        </w:rPr>
        <w:t xml:space="preserve"> and Rosh Hashanah, a time of joy but also of introspection. During this time let each of us strive to make our words, our pleas and our entreaties aligned with what we feel in our hearts. In </w:t>
      </w:r>
      <w:r>
        <w:rPr>
          <w:rFonts w:asciiTheme="majorBidi" w:hAnsiTheme="majorBidi" w:cstheme="majorBidi"/>
          <w:sz w:val="32"/>
          <w:szCs w:val="32"/>
          <w:lang w:bidi="he-IL"/>
        </w:rPr>
        <w:lastRenderedPageBreak/>
        <w:t>so doing, may we attempt to reach closer to the level of Moshe and may the words of our mouths and the meditations of our hearts be acceptable before G-d.</w:t>
      </w:r>
      <w:r>
        <w:rPr>
          <w:rStyle w:val="FootnoteReference"/>
          <w:rFonts w:asciiTheme="majorBidi" w:hAnsiTheme="majorBidi" w:cstheme="majorBidi"/>
          <w:sz w:val="32"/>
          <w:szCs w:val="32"/>
          <w:lang w:bidi="he-IL"/>
        </w:rPr>
        <w:footnoteReference w:id="4"/>
      </w:r>
    </w:p>
    <w:sectPr w:rsidR="00446469" w:rsidRPr="00F834F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7EAA" w:rsidRDefault="00C77EAA" w:rsidP="00F834F5">
      <w:pPr>
        <w:spacing w:after="0" w:line="240" w:lineRule="auto"/>
      </w:pPr>
      <w:r>
        <w:separator/>
      </w:r>
    </w:p>
  </w:endnote>
  <w:endnote w:type="continuationSeparator" w:id="0">
    <w:p w:rsidR="00C77EAA" w:rsidRDefault="00C77EAA" w:rsidP="00F834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1145718"/>
      <w:docPartObj>
        <w:docPartGallery w:val="Page Numbers (Bottom of Page)"/>
        <w:docPartUnique/>
      </w:docPartObj>
    </w:sdtPr>
    <w:sdtEndPr>
      <w:rPr>
        <w:noProof/>
      </w:rPr>
    </w:sdtEndPr>
    <w:sdtContent>
      <w:p w:rsidR="0048077E" w:rsidRDefault="0048077E">
        <w:pPr>
          <w:pStyle w:val="Footer"/>
          <w:jc w:val="right"/>
        </w:pPr>
        <w:r>
          <w:fldChar w:fldCharType="begin"/>
        </w:r>
        <w:r>
          <w:instrText xml:space="preserve"> PAGE   \* MERGEFORMAT </w:instrText>
        </w:r>
        <w:r>
          <w:fldChar w:fldCharType="separate"/>
        </w:r>
        <w:r w:rsidR="00446469">
          <w:rPr>
            <w:noProof/>
          </w:rPr>
          <w:t>4</w:t>
        </w:r>
        <w:r>
          <w:rPr>
            <w:noProof/>
          </w:rPr>
          <w:fldChar w:fldCharType="end"/>
        </w:r>
      </w:p>
    </w:sdtContent>
  </w:sdt>
  <w:p w:rsidR="0048077E" w:rsidRDefault="004807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7EAA" w:rsidRDefault="00C77EAA" w:rsidP="00F834F5">
      <w:pPr>
        <w:spacing w:after="0" w:line="240" w:lineRule="auto"/>
      </w:pPr>
      <w:r>
        <w:separator/>
      </w:r>
    </w:p>
  </w:footnote>
  <w:footnote w:type="continuationSeparator" w:id="0">
    <w:p w:rsidR="00C77EAA" w:rsidRDefault="00C77EAA" w:rsidP="00F834F5">
      <w:pPr>
        <w:spacing w:after="0" w:line="240" w:lineRule="auto"/>
      </w:pPr>
      <w:r>
        <w:continuationSeparator/>
      </w:r>
    </w:p>
  </w:footnote>
  <w:footnote w:id="1">
    <w:p w:rsidR="00F834F5" w:rsidRPr="00446469" w:rsidRDefault="00F834F5" w:rsidP="00F834F5">
      <w:pPr>
        <w:pStyle w:val="FootnoteText"/>
        <w:ind w:firstLine="720"/>
        <w:rPr>
          <w:rFonts w:asciiTheme="majorBidi" w:hAnsiTheme="majorBidi" w:cstheme="majorBidi"/>
        </w:rPr>
      </w:pPr>
      <w:r w:rsidRPr="00446469">
        <w:rPr>
          <w:rStyle w:val="FootnoteReference"/>
          <w:rFonts w:asciiTheme="majorBidi" w:hAnsiTheme="majorBidi" w:cstheme="majorBidi"/>
        </w:rPr>
        <w:footnoteRef/>
      </w:r>
      <w:r w:rsidRPr="00446469">
        <w:rPr>
          <w:rFonts w:asciiTheme="majorBidi" w:hAnsiTheme="majorBidi" w:cstheme="majorBidi"/>
        </w:rPr>
        <w:t xml:space="preserve"> Deuteronomy 3:23</w:t>
      </w:r>
    </w:p>
  </w:footnote>
  <w:footnote w:id="2">
    <w:p w:rsidR="0048077E" w:rsidRPr="00446469" w:rsidRDefault="0048077E" w:rsidP="0048077E">
      <w:pPr>
        <w:pStyle w:val="FootnoteText"/>
        <w:ind w:firstLine="720"/>
        <w:rPr>
          <w:rFonts w:asciiTheme="majorBidi" w:hAnsiTheme="majorBidi" w:cstheme="majorBidi"/>
          <w:rtl/>
          <w:lang w:bidi="he-IL"/>
        </w:rPr>
      </w:pPr>
      <w:bookmarkStart w:id="0" w:name="_GoBack"/>
      <w:r w:rsidRPr="00446469">
        <w:rPr>
          <w:rStyle w:val="FootnoteReference"/>
          <w:rFonts w:asciiTheme="majorBidi" w:hAnsiTheme="majorBidi" w:cstheme="majorBidi"/>
        </w:rPr>
        <w:footnoteRef/>
      </w:r>
      <w:r w:rsidRPr="00446469">
        <w:rPr>
          <w:rFonts w:asciiTheme="majorBidi" w:hAnsiTheme="majorBidi" w:cstheme="majorBidi"/>
        </w:rPr>
        <w:t xml:space="preserve"> Rabbi </w:t>
      </w:r>
      <w:proofErr w:type="spellStart"/>
      <w:r w:rsidRPr="00446469">
        <w:rPr>
          <w:rFonts w:asciiTheme="majorBidi" w:hAnsiTheme="majorBidi" w:cstheme="majorBidi"/>
        </w:rPr>
        <w:t>Nahman</w:t>
      </w:r>
      <w:proofErr w:type="spellEnd"/>
      <w:r w:rsidRPr="00446469">
        <w:rPr>
          <w:rFonts w:asciiTheme="majorBidi" w:hAnsiTheme="majorBidi" w:cstheme="majorBidi"/>
        </w:rPr>
        <w:t xml:space="preserve"> of </w:t>
      </w:r>
      <w:proofErr w:type="spellStart"/>
      <w:r w:rsidRPr="00446469">
        <w:rPr>
          <w:rFonts w:asciiTheme="majorBidi" w:hAnsiTheme="majorBidi" w:cstheme="majorBidi"/>
        </w:rPr>
        <w:t>Bratslav</w:t>
      </w:r>
      <w:proofErr w:type="spellEnd"/>
      <w:r w:rsidRPr="00446469">
        <w:rPr>
          <w:rFonts w:asciiTheme="majorBidi" w:hAnsiTheme="majorBidi" w:cstheme="majorBidi"/>
        </w:rPr>
        <w:t xml:space="preserve">, </w:t>
      </w:r>
      <w:proofErr w:type="spellStart"/>
      <w:r w:rsidRPr="00446469">
        <w:rPr>
          <w:rFonts w:asciiTheme="majorBidi" w:hAnsiTheme="majorBidi" w:cstheme="majorBidi"/>
          <w:i/>
          <w:iCs/>
        </w:rPr>
        <w:t>Likkutei</w:t>
      </w:r>
      <w:proofErr w:type="spellEnd"/>
      <w:r w:rsidRPr="00446469">
        <w:rPr>
          <w:rFonts w:asciiTheme="majorBidi" w:hAnsiTheme="majorBidi" w:cstheme="majorBidi"/>
          <w:i/>
          <w:iCs/>
        </w:rPr>
        <w:t xml:space="preserve"> </w:t>
      </w:r>
      <w:proofErr w:type="spellStart"/>
      <w:r w:rsidRPr="00446469">
        <w:rPr>
          <w:rFonts w:asciiTheme="majorBidi" w:hAnsiTheme="majorBidi" w:cstheme="majorBidi"/>
          <w:i/>
          <w:iCs/>
        </w:rPr>
        <w:t>Moharan</w:t>
      </w:r>
      <w:proofErr w:type="spellEnd"/>
      <w:r w:rsidRPr="00446469">
        <w:rPr>
          <w:rFonts w:asciiTheme="majorBidi" w:hAnsiTheme="majorBidi" w:cstheme="majorBidi"/>
          <w:i/>
          <w:iCs/>
        </w:rPr>
        <w:t xml:space="preserve">, </w:t>
      </w:r>
      <w:r w:rsidR="00446469" w:rsidRPr="00446469">
        <w:rPr>
          <w:rFonts w:asciiTheme="majorBidi" w:hAnsiTheme="majorBidi" w:cstheme="majorBidi"/>
        </w:rPr>
        <w:t xml:space="preserve">99 </w:t>
      </w:r>
      <w:r w:rsidR="00446469" w:rsidRPr="00446469">
        <w:rPr>
          <w:rFonts w:asciiTheme="majorBidi" w:hAnsiTheme="majorBidi" w:cstheme="majorBidi"/>
          <w:rtl/>
          <w:lang w:bidi="he-IL"/>
        </w:rPr>
        <w:t>ד"ה ואתחנן אל ה בעת ההיא לאמר</w:t>
      </w:r>
    </w:p>
  </w:footnote>
  <w:footnote w:id="3">
    <w:p w:rsidR="00446469" w:rsidRPr="00446469" w:rsidRDefault="00446469" w:rsidP="00446469">
      <w:pPr>
        <w:pStyle w:val="FootnoteText"/>
        <w:ind w:firstLine="720"/>
        <w:rPr>
          <w:rFonts w:hint="cs"/>
          <w:rtl/>
          <w:lang w:bidi="he-IL"/>
        </w:rPr>
      </w:pPr>
      <w:r w:rsidRPr="00446469">
        <w:rPr>
          <w:rStyle w:val="FootnoteReference"/>
          <w:rFonts w:asciiTheme="majorBidi" w:hAnsiTheme="majorBidi" w:cstheme="majorBidi"/>
        </w:rPr>
        <w:footnoteRef/>
      </w:r>
      <w:r w:rsidRPr="00446469">
        <w:rPr>
          <w:rFonts w:asciiTheme="majorBidi" w:hAnsiTheme="majorBidi" w:cstheme="majorBidi"/>
        </w:rPr>
        <w:t xml:space="preserve"> </w:t>
      </w:r>
      <w:r w:rsidRPr="00446469">
        <w:rPr>
          <w:rFonts w:asciiTheme="majorBidi" w:hAnsiTheme="majorBidi" w:cstheme="majorBidi"/>
        </w:rPr>
        <w:t xml:space="preserve">Rabbi </w:t>
      </w:r>
      <w:proofErr w:type="spellStart"/>
      <w:r w:rsidRPr="00446469">
        <w:rPr>
          <w:rFonts w:asciiTheme="majorBidi" w:hAnsiTheme="majorBidi" w:cstheme="majorBidi"/>
        </w:rPr>
        <w:t>Nahman</w:t>
      </w:r>
      <w:proofErr w:type="spellEnd"/>
      <w:r w:rsidRPr="00446469">
        <w:rPr>
          <w:rFonts w:asciiTheme="majorBidi" w:hAnsiTheme="majorBidi" w:cstheme="majorBidi"/>
        </w:rPr>
        <w:t xml:space="preserve"> of </w:t>
      </w:r>
      <w:proofErr w:type="spellStart"/>
      <w:r w:rsidRPr="00446469">
        <w:rPr>
          <w:rFonts w:asciiTheme="majorBidi" w:hAnsiTheme="majorBidi" w:cstheme="majorBidi"/>
        </w:rPr>
        <w:t>Bratslav</w:t>
      </w:r>
      <w:proofErr w:type="spellEnd"/>
      <w:r w:rsidRPr="00446469">
        <w:rPr>
          <w:rFonts w:asciiTheme="majorBidi" w:hAnsiTheme="majorBidi" w:cstheme="majorBidi"/>
        </w:rPr>
        <w:t xml:space="preserve">, </w:t>
      </w:r>
      <w:proofErr w:type="spellStart"/>
      <w:r w:rsidRPr="00446469">
        <w:rPr>
          <w:rFonts w:asciiTheme="majorBidi" w:hAnsiTheme="majorBidi" w:cstheme="majorBidi"/>
          <w:i/>
          <w:iCs/>
        </w:rPr>
        <w:t>Likkutei</w:t>
      </w:r>
      <w:proofErr w:type="spellEnd"/>
      <w:r w:rsidRPr="00446469">
        <w:rPr>
          <w:rFonts w:asciiTheme="majorBidi" w:hAnsiTheme="majorBidi" w:cstheme="majorBidi"/>
          <w:i/>
          <w:iCs/>
        </w:rPr>
        <w:t xml:space="preserve"> </w:t>
      </w:r>
      <w:proofErr w:type="spellStart"/>
      <w:r w:rsidRPr="00446469">
        <w:rPr>
          <w:rFonts w:asciiTheme="majorBidi" w:hAnsiTheme="majorBidi" w:cstheme="majorBidi"/>
          <w:i/>
          <w:iCs/>
        </w:rPr>
        <w:t>Moharan</w:t>
      </w:r>
      <w:proofErr w:type="spellEnd"/>
      <w:r w:rsidRPr="00446469">
        <w:rPr>
          <w:rFonts w:asciiTheme="majorBidi" w:hAnsiTheme="majorBidi" w:cstheme="majorBidi"/>
          <w:i/>
          <w:iCs/>
        </w:rPr>
        <w:t xml:space="preserve">, </w:t>
      </w:r>
      <w:r w:rsidRPr="00446469">
        <w:rPr>
          <w:rFonts w:asciiTheme="majorBidi" w:hAnsiTheme="majorBidi" w:cstheme="majorBidi"/>
        </w:rPr>
        <w:t>99</w:t>
      </w:r>
      <w:r w:rsidRPr="00446469">
        <w:rPr>
          <w:rFonts w:asciiTheme="majorBidi" w:hAnsiTheme="majorBidi" w:cstheme="majorBidi"/>
          <w:rtl/>
          <w:lang w:bidi="he-IL"/>
        </w:rPr>
        <w:t xml:space="preserve"> </w:t>
      </w:r>
      <w:r w:rsidRPr="00446469">
        <w:rPr>
          <w:rFonts w:asciiTheme="majorBidi" w:hAnsiTheme="majorBidi" w:cstheme="majorBidi"/>
          <w:lang w:bidi="he-IL"/>
        </w:rPr>
        <w:t xml:space="preserve"> </w:t>
      </w:r>
      <w:r w:rsidRPr="00446469">
        <w:rPr>
          <w:rFonts w:asciiTheme="majorBidi" w:hAnsiTheme="majorBidi" w:cstheme="majorBidi"/>
          <w:rtl/>
          <w:lang w:bidi="he-IL"/>
        </w:rPr>
        <w:t>ד"ה בעת ההיא לאמר</w:t>
      </w:r>
    </w:p>
  </w:footnote>
  <w:footnote w:id="4">
    <w:p w:rsidR="00446469" w:rsidRPr="00446469" w:rsidRDefault="00446469" w:rsidP="00446469">
      <w:pPr>
        <w:pStyle w:val="FootnoteText"/>
        <w:ind w:firstLine="720"/>
        <w:rPr>
          <w:rFonts w:asciiTheme="majorBidi" w:hAnsiTheme="majorBidi" w:cstheme="majorBidi"/>
        </w:rPr>
      </w:pPr>
      <w:r w:rsidRPr="00446469">
        <w:rPr>
          <w:rStyle w:val="FootnoteReference"/>
          <w:rFonts w:asciiTheme="majorBidi" w:hAnsiTheme="majorBidi" w:cstheme="majorBidi"/>
        </w:rPr>
        <w:footnoteRef/>
      </w:r>
      <w:r w:rsidRPr="00446469">
        <w:rPr>
          <w:rFonts w:asciiTheme="majorBidi" w:hAnsiTheme="majorBidi" w:cstheme="majorBidi"/>
        </w:rPr>
        <w:t xml:space="preserve"> Based on Psalm 19:14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4F5"/>
    <w:rsid w:val="00446469"/>
    <w:rsid w:val="0048077E"/>
    <w:rsid w:val="006B756C"/>
    <w:rsid w:val="00C77EAA"/>
    <w:rsid w:val="00F834F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834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34F5"/>
    <w:rPr>
      <w:sz w:val="20"/>
      <w:szCs w:val="20"/>
    </w:rPr>
  </w:style>
  <w:style w:type="character" w:styleId="FootnoteReference">
    <w:name w:val="footnote reference"/>
    <w:basedOn w:val="DefaultParagraphFont"/>
    <w:uiPriority w:val="99"/>
    <w:semiHidden/>
    <w:unhideWhenUsed/>
    <w:rsid w:val="00F834F5"/>
    <w:rPr>
      <w:vertAlign w:val="superscript"/>
    </w:rPr>
  </w:style>
  <w:style w:type="paragraph" w:styleId="Header">
    <w:name w:val="header"/>
    <w:basedOn w:val="Normal"/>
    <w:link w:val="HeaderChar"/>
    <w:uiPriority w:val="99"/>
    <w:unhideWhenUsed/>
    <w:rsid w:val="004807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077E"/>
  </w:style>
  <w:style w:type="paragraph" w:styleId="Footer">
    <w:name w:val="footer"/>
    <w:basedOn w:val="Normal"/>
    <w:link w:val="FooterChar"/>
    <w:uiPriority w:val="99"/>
    <w:unhideWhenUsed/>
    <w:rsid w:val="004807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07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834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34F5"/>
    <w:rPr>
      <w:sz w:val="20"/>
      <w:szCs w:val="20"/>
    </w:rPr>
  </w:style>
  <w:style w:type="character" w:styleId="FootnoteReference">
    <w:name w:val="footnote reference"/>
    <w:basedOn w:val="DefaultParagraphFont"/>
    <w:uiPriority w:val="99"/>
    <w:semiHidden/>
    <w:unhideWhenUsed/>
    <w:rsid w:val="00F834F5"/>
    <w:rPr>
      <w:vertAlign w:val="superscript"/>
    </w:rPr>
  </w:style>
  <w:style w:type="paragraph" w:styleId="Header">
    <w:name w:val="header"/>
    <w:basedOn w:val="Normal"/>
    <w:link w:val="HeaderChar"/>
    <w:uiPriority w:val="99"/>
    <w:unhideWhenUsed/>
    <w:rsid w:val="004807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077E"/>
  </w:style>
  <w:style w:type="paragraph" w:styleId="Footer">
    <w:name w:val="footer"/>
    <w:basedOn w:val="Normal"/>
    <w:link w:val="FooterChar"/>
    <w:uiPriority w:val="99"/>
    <w:unhideWhenUsed/>
    <w:rsid w:val="004807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07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201195-CFE5-46CA-ADAC-8D6A959B5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cp:revision>
  <dcterms:created xsi:type="dcterms:W3CDTF">2018-06-15T18:03:00Z</dcterms:created>
  <dcterms:modified xsi:type="dcterms:W3CDTF">2018-06-15T19:19:00Z</dcterms:modified>
</cp:coreProperties>
</file>